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96" w:name="ceos-ard---optical---surface-reflectance"/>
    <w:p>
      <w:pPr>
        <w:pStyle w:val="berschrift1"/>
      </w:pPr>
      <w:r>
        <w:t xml:space="preserve">CEOS-ARD - Optical - Surface Reflectance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Reflectance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Renamed CARD4L to CEOS-ARD</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If no threshold requirement applies, the wording has been made consistent (e.g. former req. 1.7 and 1.8).</w:t>
      </w:r>
    </w:p>
    <w:p>
      <w:pPr>
        <w:pStyle w:val="Compact"/>
        <w:numPr>
          <w:ilvl w:val="0"/>
          <w:numId w:val="1001"/>
        </w:numPr>
      </w:pPr>
      <w:r>
        <w:t xml:space="preserve">Former req. 2.13 has been removed as it had neither a threshold nor a goal requirement.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Adam Lewis, Geoscience Australia, Australia</w:t>
      </w:r>
    </w:p>
    <w:p>
      <w:pPr>
        <w:pStyle w:val="Compact"/>
        <w:numPr>
          <w:ilvl w:val="0"/>
          <w:numId w:val="1002"/>
        </w:numPr>
      </w:pPr>
      <w:r>
        <w:t xml:space="preserve">Jonathon Ross, Geoscience Australia, Australia</w:t>
      </w:r>
    </w:p>
    <w:p>
      <w:pPr>
        <w:pStyle w:val="Compact"/>
        <w:numPr>
          <w:ilvl w:val="0"/>
          <w:numId w:val="1002"/>
        </w:numPr>
      </w:pPr>
      <w:r>
        <w:t xml:space="preserve">Andreia Siqueira, Geoscience Australia, Australia</w:t>
      </w:r>
    </w:p>
    <w:p>
      <w:pPr>
        <w:pStyle w:val="Compact"/>
        <w:numPr>
          <w:ilvl w:val="0"/>
          <w:numId w:val="1002"/>
        </w:numPr>
      </w:pPr>
      <w:r>
        <w:t xml:space="preserve">Darcie Bontje, USGS, USA</w:t>
      </w:r>
    </w:p>
    <w:p>
      <w:pPr>
        <w:pStyle w:val="Compact"/>
        <w:numPr>
          <w:ilvl w:val="0"/>
          <w:numId w:val="1002"/>
        </w:numPr>
      </w:pPr>
      <w:r>
        <w:t xml:space="preserve">Steve Labahn, USGS, USA</w:t>
      </w:r>
    </w:p>
    <w:p>
      <w:pPr>
        <w:pStyle w:val="Compact"/>
        <w:numPr>
          <w:ilvl w:val="0"/>
          <w:numId w:val="1002"/>
        </w:numPr>
      </w:pPr>
      <w:r>
        <w:t xml:space="preserve">Mary Metzger, USGS, USA</w:t>
      </w:r>
    </w:p>
    <w:p>
      <w:pPr>
        <w:pStyle w:val="Compact"/>
        <w:numPr>
          <w:ilvl w:val="0"/>
          <w:numId w:val="1002"/>
        </w:numPr>
      </w:pPr>
      <w:r>
        <w:t xml:space="preserve">Matt Steventon, LSI-VC Secretariat</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Optical, Surface Reflectance (SR)</w:t>
      </w:r>
    </w:p>
    <w:p>
      <w:pPr>
        <w:pStyle w:val="Textkrper"/>
      </w:pPr>
      <w:r>
        <w:rPr>
          <w:b/>
          <w:bCs/>
        </w:rPr>
        <w:t xml:space="preserve">Version:</w:t>
      </w:r>
      <w:r>
        <w:t xml:space="preserve"> </w:t>
      </w:r>
      <w:r>
        <w:t xml:space="preserve">5.0.1-draft</w:t>
      </w:r>
    </w:p>
    <w:p>
      <w:pPr>
        <w:pStyle w:val="Textkrper"/>
      </w:pPr>
      <w:r>
        <w:rPr>
          <w:b/>
          <w:bCs/>
        </w:rPr>
        <w:t xml:space="preserve">Applies to:</w:t>
      </w:r>
      <w:r>
        <w:t xml:space="preserve"> </w:t>
      </w:r>
      <w:r>
        <w:t xml:space="preserve">Data collected by Optical sensors</w:t>
      </w:r>
    </w:p>
    <w:bookmarkEnd w:id="29"/>
    <w:bookmarkStart w:id="30" w:name="background"/>
    <w:p>
      <w:pPr>
        <w:pStyle w:val="berschrift2"/>
      </w:pPr>
      <w:r>
        <w:t xml:space="preserve">Background</w:t>
      </w:r>
    </w:p>
    <w:p>
      <w:pPr>
        <w:pStyle w:val="FirstParagraph"/>
      </w:pPr>
      <w:r>
        <w:t xml:space="preserve">Data collected with multispectral optical sensors operating in the VIS/NIR/SWIR wavelengths at all ground sample distances and resolutions.</w:t>
      </w:r>
    </w:p>
    <w:p>
      <w:r>
        <w:br w:type="page"/>
      </w:r>
    </w:p>
    <w:bookmarkEnd w:id="30"/>
    <w:bookmarkStart w:id="31" w:name="definitions-and-abbreviations"/>
    <w:p>
      <w:pPr>
        <w:pStyle w:val="berschrift2"/>
      </w:pPr>
      <w:r>
        <w:t xml:space="preserve">Definitions and Abbreviations</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BRDF</w:t>
      </w:r>
    </w:p>
    <w:p>
      <w:pPr>
        <w:pStyle w:val="Definition"/>
      </w:pPr>
      <w:r>
        <w:t xml:space="preserve">Bi-Directional Reflectance Function</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1"/>
    <w:bookmarkStart w:id="180"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0"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cs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ac-uncsr">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rdopt"/>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meta-mrdopt</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36"/>
    <w:bookmarkStart w:id="37"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timsr"/>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meta-timsr</w:t>
      </w:r>
    </w:p>
    <w:bookmarkStart w:id="40" w:name="threshold-requirements-2"/>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40"/>
    <w:bookmarkStart w:id="41"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geoasr"/>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meta-geoasr</w:t>
      </w:r>
    </w:p>
    <w:bookmarkStart w:id="44" w:name="threshold-requirements-3"/>
    <w:p>
      <w:pPr>
        <w:pStyle w:val="berschrift5"/>
      </w:pPr>
      <w:r>
        <w:t xml:space="preserve">Threshold requirements:</w:t>
      </w:r>
    </w:p>
    <w:p>
      <w:pPr>
        <w:pStyle w:val="FirstParagraph"/>
      </w:pPr>
      <w:r>
        <w:t xml:space="preserve">The surface location to which the data relate is identified, typically as a series of four corner points, expressed in an accepted coordinate reference system (e.g., WGS84).</w:t>
      </w:r>
    </w:p>
    <w:bookmarkEnd w:id="44"/>
    <w:bookmarkStart w:id="45"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crsopt"/>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meta-crsopt</w:t>
      </w:r>
    </w:p>
    <w:bookmarkStart w:id="48" w:name="threshold-requirements-4"/>
    <w:p>
      <w:pPr>
        <w:pStyle w:val="berschrift5"/>
      </w:pPr>
      <w:r>
        <w:t xml:space="preserve">Threshold requirements:</w:t>
      </w:r>
    </w:p>
    <w:p>
      <w:pPr>
        <w:pStyle w:val="FirstParagraph"/>
      </w:pPr>
      <w:r>
        <w:t xml:space="preserve">The metadata lists the coordinate reference system that has been used.</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0"/>
    <w:bookmarkEnd w:id="51"/>
    <w:bookmarkStart w:id="55" w:name="sec:meta-mpsr"/>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meta-mpsr</w:t>
      </w:r>
    </w:p>
    <w:bookmarkStart w:id="52" w:name="threshold-requirements-5"/>
    <w:p>
      <w:pPr>
        <w:pStyle w:val="berschrift5"/>
      </w:pPr>
      <w:r>
        <w:t xml:space="preserve">Threshold requirements:</w:t>
      </w:r>
    </w:p>
    <w:p>
      <w:pPr>
        <w:pStyle w:val="FirstParagraph"/>
      </w:pPr>
      <w:r>
        <w:t xml:space="preserve">The metadata lists the map projection that has been used (or geographical coordinates, if applicable) and any relevant parameters required in relation to use of data in that map projection.</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4"/>
    <w:bookmarkEnd w:id="55"/>
    <w:bookmarkStart w:id="59" w:name="sec:meta-gmcmsr"/>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meta-gmcmsr</w:t>
      </w:r>
    </w:p>
    <w:bookmarkStart w:id="56" w:name="threshold-requirements-6"/>
    <w:p>
      <w:pPr>
        <w:pStyle w:val="berschrift5"/>
      </w:pPr>
      <w:r>
        <w:t xml:space="preserve">Threshold requirements:</w:t>
      </w:r>
    </w:p>
    <w:p>
      <w:pPr>
        <w:pStyle w:val="FirstParagraph"/>
      </w:pPr>
      <w:r>
        <w:t xml:space="preserve">Not required.</w:t>
      </w:r>
      <w:r>
        <w:t xml:space="preserve"> </w:t>
      </w:r>
    </w:p>
    <w:bookmarkEnd w:id="56"/>
    <w:bookmarkStart w:id="57"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including reference database and auxiliary data such as elevation model(s) and reference chip-sets.</w:t>
      </w:r>
    </w:p>
    <w:bookmarkEnd w:id="57"/>
    <w:bookmarkStart w:id="58"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8"/>
    <w:bookmarkEnd w:id="59"/>
    <w:bookmarkStart w:id="63" w:name="sec:meta-gmasr"/>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meta-gmasr</w:t>
      </w:r>
    </w:p>
    <w:bookmarkStart w:id="60" w:name="threshold-requirements-7"/>
    <w:p>
      <w:pPr>
        <w:pStyle w:val="berschrift5"/>
      </w:pPr>
      <w:r>
        <w:t xml:space="preserve">Threshold requirements:</w:t>
      </w:r>
    </w:p>
    <w:p>
      <w:pPr>
        <w:pStyle w:val="FirstParagraph"/>
      </w:pPr>
      <w:r>
        <w:t xml:space="preserve">Not required.</w:t>
      </w:r>
      <w:r>
        <w:t xml:space="preserve"> </w:t>
      </w:r>
    </w:p>
    <w:bookmarkEnd w:id="60"/>
    <w:bookmarkStart w:id="61"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quantitatively, for example, as root mean square error (RMSE) or Circular Error Probability (CEP90, CEP95), etc.</w:t>
      </w:r>
    </w:p>
    <w:p>
      <w:pPr>
        <w:pStyle w:val="Textkrper"/>
      </w:pPr>
      <w:r>
        <w:t xml:space="preserve">Notes:</w:t>
      </w:r>
    </w:p>
    <w:p>
      <w:pPr>
        <w:pStyle w:val="Compact"/>
        <w:numPr>
          <w:ilvl w:val="0"/>
          <w:numId w:val="1011"/>
        </w:numPr>
      </w:pPr>
      <w:r>
        <w:t xml:space="preserve">Information on geometric accuracy of the data should be available in the metadata as a single DOI landing page.</w:t>
      </w:r>
    </w:p>
    <w:bookmarkEnd w:id="61"/>
    <w:bookmarkStart w:id="62"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2"/>
    <w:bookmarkEnd w:id="63"/>
    <w:bookmarkStart w:id="67" w:name="sec:meta-insopt"/>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meta-insopt</w:t>
      </w:r>
    </w:p>
    <w:bookmarkStart w:id="64" w:name="threshold-requirements-8"/>
    <w:p>
      <w:pPr>
        <w:pStyle w:val="berschrift5"/>
      </w:pPr>
      <w:r>
        <w:t xml:space="preserve">Threshold requirements:</w:t>
      </w:r>
    </w:p>
    <w:p>
      <w:pPr>
        <w:pStyle w:val="FirstParagraph"/>
      </w:pPr>
      <w:r>
        <w:t xml:space="preserve">The instrument used to collect the data is identified in the metadata.</w:t>
      </w:r>
    </w:p>
    <w:bookmarkEnd w:id="64"/>
    <w:bookmarkStart w:id="65"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65"/>
    <w:bookmarkStart w:id="66"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6"/>
    <w:bookmarkEnd w:id="67"/>
    <w:bookmarkStart w:id="71" w:name="sec:meta-spcbnd"/>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meta-spcbnd</w:t>
      </w:r>
    </w:p>
    <w:bookmarkStart w:id="68"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68"/>
    <w:bookmarkStart w:id="69"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4"/>
        </w:numPr>
      </w:pPr>
      <w:r>
        <w:t xml:space="preserve">Information on spectral bands should be available in the metadata as a single DOI landing page.</w:t>
      </w:r>
    </w:p>
    <w:bookmarkEnd w:id="69"/>
    <w:bookmarkStart w:id="70"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0"/>
    <w:bookmarkEnd w:id="71"/>
    <w:bookmarkStart w:id="75" w:name="sec:meta-scaopt"/>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meta-scaopt</w:t>
      </w:r>
    </w:p>
    <w:bookmarkStart w:id="72" w:name="threshold-requirements-10"/>
    <w:p>
      <w:pPr>
        <w:pStyle w:val="berschrift5"/>
      </w:pPr>
      <w:r>
        <w:t xml:space="preserve">Threshold requirements:</w:t>
      </w:r>
    </w:p>
    <w:p>
      <w:pPr>
        <w:pStyle w:val="FirstParagraph"/>
      </w:pPr>
      <w:r>
        <w:t xml:space="preserve">Not required.</w:t>
      </w:r>
      <w:r>
        <w:t xml:space="preserve"> </w:t>
      </w:r>
    </w:p>
    <w:bookmarkEnd w:id="72"/>
    <w:bookmarkStart w:id="73"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6"/>
        </w:numPr>
      </w:pPr>
      <w:r>
        <w:t xml:space="preserve">Information on sensory calibration should be available in the metadata as a single DOI landing page.</w:t>
      </w:r>
    </w:p>
    <w:bookmarkEnd w:id="73"/>
    <w:bookmarkStart w:id="74"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4"/>
    <w:bookmarkEnd w:id="75"/>
    <w:bookmarkStart w:id="79" w:name="sec:meta-rmasr"/>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meta-rmasr</w:t>
      </w:r>
    </w:p>
    <w:bookmarkStart w:id="76" w:name="threshold-requirements-11"/>
    <w:p>
      <w:pPr>
        <w:pStyle w:val="berschrift5"/>
      </w:pPr>
      <w:r>
        <w:t xml:space="preserve">Threshold requirements:</w:t>
      </w:r>
    </w:p>
    <w:p>
      <w:pPr>
        <w:pStyle w:val="FirstParagraph"/>
      </w:pPr>
      <w:r>
        <w:t xml:space="preserve">Not required.</w:t>
      </w:r>
      <w:r>
        <w:t xml:space="preserve"> </w:t>
      </w:r>
    </w:p>
    <w:bookmarkEnd w:id="76"/>
    <w:bookmarkStart w:id="77" w:name="goal-requirements-11"/>
    <w:p>
      <w:pPr>
        <w:pStyle w:val="berschrift5"/>
      </w:pPr>
      <w:r>
        <w:t xml:space="preserve">Goal requirements:</w:t>
      </w:r>
    </w:p>
    <w:p>
      <w:pPr>
        <w:pStyle w:val="FirstParagraph"/>
      </w:pPr>
      <w:r>
        <w:t xml:space="preserve">The metadata includes metrics describing the assessed absolute radiometric uncertainty of the version of the data or product, expressed as absolute radiometric uncertainty relative to appropriate, known reference sites and standards (for example, pseudo-invariant calibration sites, rigorously collected field spectra, Rayleigh, DCC, etc.)</w:t>
      </w:r>
    </w:p>
    <w:p>
      <w:pPr>
        <w:pStyle w:val="Textkrper"/>
      </w:pPr>
      <w:r>
        <w:t xml:space="preserve">Notes:</w:t>
      </w:r>
    </w:p>
    <w:p>
      <w:pPr>
        <w:pStyle w:val="Compact"/>
        <w:numPr>
          <w:ilvl w:val="0"/>
          <w:numId w:val="1018"/>
        </w:numPr>
      </w:pPr>
      <w:r>
        <w:t xml:space="preserve">Information on radiometric accuracy should be available in the metadata as a single DOI landing page.</w:t>
      </w:r>
    </w:p>
    <w:bookmarkEnd w:id="77"/>
    <w:bookmarkStart w:id="78"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78"/>
    <w:bookmarkEnd w:id="79"/>
    <w:bookmarkStart w:id="83" w:name="sec:meta-algosr"/>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meta-algosr</w:t>
      </w:r>
    </w:p>
    <w:bookmarkStart w:id="80" w:name="threshold-requirements-12"/>
    <w:p>
      <w:pPr>
        <w:pStyle w:val="berschrift5"/>
      </w:pPr>
      <w:r>
        <w:t xml:space="preserve">Threshold requirements:</w:t>
      </w:r>
    </w:p>
    <w:p>
      <w:pPr>
        <w:pStyle w:val="FirstParagraph"/>
      </w:pPr>
      <w:r>
        <w:t xml:space="preserve">All algorithms, and the sequence in which they were applied in the generation process, are identified in the metadata.</w:t>
      </w:r>
      <w:r>
        <w:t xml:space="preserve"> </w:t>
      </w:r>
      <w:r>
        <w:t xml:space="preserve">For example, these may be available through Algorithm Theoretical Basis documents.</w:t>
      </w:r>
    </w:p>
    <w:p>
      <w:pPr>
        <w:pStyle w:val="Textkrper"/>
      </w:pPr>
      <w:r>
        <w:t xml:space="preserve">Notes:</w:t>
      </w:r>
    </w:p>
    <w:p>
      <w:pPr>
        <w:pStyle w:val="Compact"/>
        <w:numPr>
          <w:ilvl w:val="0"/>
          <w:numId w:val="1020"/>
        </w:numPr>
      </w:pPr>
      <w:r>
        <w:t xml:space="preserve">Information on algorithms should be available in the metadata as a single DOI landing page.</w:t>
      </w:r>
    </w:p>
    <w:bookmarkEnd w:id="80"/>
    <w:bookmarkStart w:id="81"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1"/>
        </w:numPr>
      </w:pPr>
      <w:r>
        <w:t xml:space="preserve">It is possible that high-quality corrections are applied through non-disclosed processes. CEOS-ARD does not per-se require full and open data and methods.</w:t>
      </w:r>
    </w:p>
    <w:p>
      <w:pPr>
        <w:pStyle w:val="Compact"/>
        <w:numPr>
          <w:ilvl w:val="0"/>
          <w:numId w:val="1021"/>
        </w:numPr>
      </w:pPr>
      <w:r>
        <w:t xml:space="preserve">Information on algorithms should be available in the metadata as a single DOI landing page.</w:t>
      </w:r>
    </w:p>
    <w:bookmarkEnd w:id="81"/>
    <w:bookmarkStart w:id="82"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2"/>
    <w:bookmarkEnd w:id="83"/>
    <w:bookmarkStart w:id="87" w:name="sec:meta-auxopt"/>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meta-auxopt</w:t>
      </w:r>
    </w:p>
    <w:bookmarkStart w:id="84"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3"/>
        </w:numPr>
      </w:pPr>
      <w:r>
        <w:t xml:space="preserve">Auxiliary data includes DEMs, aerosols, etc. data sources.</w:t>
      </w:r>
    </w:p>
    <w:bookmarkEnd w:id="84"/>
    <w:bookmarkStart w:id="85"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5"/>
    <w:bookmarkStart w:id="86" w:name="assessment-13"/>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86"/>
    <w:bookmarkEnd w:id="87"/>
    <w:bookmarkStart w:id="91" w:name="sec:meta-pcpsr"/>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meta-pcpsr</w:t>
      </w:r>
    </w:p>
    <w:bookmarkStart w:id="88" w:name="threshold-requirements-14"/>
    <w:p>
      <w:pPr>
        <w:pStyle w:val="berschrift5"/>
      </w:pPr>
      <w:r>
        <w:t xml:space="preserve">Threshold requirements:</w:t>
      </w:r>
    </w:p>
    <w:p>
      <w:pPr>
        <w:pStyle w:val="FirstParagraph"/>
      </w:pPr>
      <w:r>
        <w:t xml:space="preserve">Not required.</w:t>
      </w:r>
      <w:r>
        <w:t xml:space="preserve"> </w:t>
      </w:r>
    </w:p>
    <w:bookmarkEnd w:id="88"/>
    <w:bookmarkStart w:id="89"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detailed description of the processing steps used to generate the product, including the versions of software used, giving full transparency to the users.</w:t>
      </w:r>
    </w:p>
    <w:bookmarkEnd w:id="89"/>
    <w:bookmarkStart w:id="90" w:name="assessment-14"/>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0"/>
    <w:bookmarkEnd w:id="91"/>
    <w:bookmarkStart w:id="95" w:name="sec:meta-dacce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meta-dacces</w:t>
      </w:r>
    </w:p>
    <w:bookmarkStart w:id="92"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6"/>
        </w:numPr>
      </w:pPr>
      <w:r>
        <w:t xml:space="preserve">Manual and offline interaction action (e.g., login) may be required.</w:t>
      </w:r>
    </w:p>
    <w:bookmarkEnd w:id="92"/>
    <w:bookmarkStart w:id="93" w:name="goal-requirements-15"/>
    <w:p>
      <w:pPr>
        <w:pStyle w:val="berschrift5"/>
      </w:pPr>
      <w:r>
        <w:t xml:space="preserve">Goal requirements:</w:t>
      </w:r>
    </w:p>
    <w:p>
      <w:pPr>
        <w:pStyle w:val="FirstParagraph"/>
      </w:pPr>
      <w:r>
        <w:t xml:space="preserve">As threshold.</w:t>
      </w:r>
      <w:r>
        <w:t xml:space="preserve"> </w:t>
      </w:r>
    </w:p>
    <w:bookmarkEnd w:id="93"/>
    <w:bookmarkStart w:id="94" w:name="assessment-15"/>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94"/>
    <w:bookmarkEnd w:id="95"/>
    <w:bookmarkStart w:id="99" w:name="sec:meta-dqlsr"/>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meta-dqlsr</w:t>
      </w:r>
    </w:p>
    <w:bookmarkStart w:id="96" w:name="threshold-requirements-16"/>
    <w:p>
      <w:pPr>
        <w:pStyle w:val="berschrift5"/>
      </w:pPr>
      <w:r>
        <w:t xml:space="preserve">Threshold requirements:</w:t>
      </w:r>
    </w:p>
    <w:p>
      <w:pPr>
        <w:pStyle w:val="FirstParagraph"/>
      </w:pPr>
      <w:r>
        <w:t xml:space="preserve">Not required.</w:t>
      </w:r>
      <w:r>
        <w:t xml:space="preserve"> </w:t>
      </w:r>
    </w:p>
    <w:bookmarkEnd w:id="96"/>
    <w:bookmarkStart w:id="97" w:name="goal-requirements-16"/>
    <w:p>
      <w:pPr>
        <w:pStyle w:val="berschrift5"/>
      </w:pPr>
      <w:r>
        <w:t xml:space="preserve">Goal requirements:</w:t>
      </w:r>
    </w:p>
    <w:p>
      <w:pPr>
        <w:pStyle w:val="FirstParagraph"/>
      </w:pPr>
      <w:r>
        <w:t xml:space="preserve">Machine-readable metrics describing the overall quality of the data are included in the metadata, at minimum the cloud cover extent, i.e.:</w:t>
      </w:r>
    </w:p>
    <w:p>
      <w:pPr>
        <w:pStyle w:val="Compact"/>
        <w:numPr>
          <w:ilvl w:val="0"/>
          <w:numId w:val="1028"/>
        </w:numPr>
      </w:pPr>
      <w:r>
        <w:t xml:space="preserve">Proportion of observations over land (c.f. ocean) affected by non-target phenomena, e.g., cloud and cloud shadows</w:t>
      </w:r>
    </w:p>
    <w:bookmarkEnd w:id="97"/>
    <w:bookmarkStart w:id="98" w:name="assessment-1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bookmarkEnd w:id="98"/>
    <w:bookmarkEnd w:id="99"/>
    <w:bookmarkEnd w:id="100"/>
    <w:bookmarkStart w:id="149"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04" w:name="sec:pxl-mrdppo"/>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pxl-mrdppo</w:t>
      </w:r>
    </w:p>
    <w:bookmarkStart w:id="101"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1"/>
    <w:bookmarkStart w:id="102" w:name="goal-requirements-17"/>
    <w:p>
      <w:pPr>
        <w:pStyle w:val="berschrift5"/>
      </w:pPr>
      <w:r>
        <w:t xml:space="preserve">Goal requirements:</w:t>
      </w:r>
    </w:p>
    <w:p>
      <w:pPr>
        <w:pStyle w:val="FirstParagraph"/>
      </w:pPr>
      <w:r>
        <w:t xml:space="preserve">As threshold.</w:t>
      </w:r>
      <w:r>
        <w:t xml:space="preserve"> </w:t>
      </w:r>
    </w:p>
    <w:bookmarkEnd w:id="102"/>
    <w:bookmarkStart w:id="103" w:name="assessment-17"/>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03"/>
    <w:bookmarkEnd w:id="104"/>
    <w:bookmarkStart w:id="108" w:name="sec:pxl-ppnodt"/>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pxl-ppnodt</w:t>
      </w:r>
    </w:p>
    <w:bookmarkStart w:id="105" w:name="threshold-requirements-18"/>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05"/>
    <w:bookmarkStart w:id="106" w:name="goal-requirements-18"/>
    <w:p>
      <w:pPr>
        <w:pStyle w:val="berschrift5"/>
      </w:pPr>
      <w:r>
        <w:t xml:space="preserve">Goal requirements:</w:t>
      </w:r>
    </w:p>
    <w:p>
      <w:pPr>
        <w:pStyle w:val="FirstParagraph"/>
      </w:pPr>
      <w:r>
        <w:t xml:space="preserve">As threshold.</w:t>
      </w:r>
      <w:r>
        <w:t xml:space="preserve"> </w:t>
      </w:r>
    </w:p>
    <w:bookmarkEnd w:id="106"/>
    <w:bookmarkStart w:id="107" w:name="assessment-18"/>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07"/>
    <w:bookmarkEnd w:id="108"/>
    <w:bookmarkStart w:id="112" w:name="sec:pxl-ppinct"/>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pxl-ppinct</w:t>
      </w:r>
    </w:p>
    <w:bookmarkStart w:id="109"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2"/>
        </w:numPr>
      </w:pPr>
      <w:r>
        <w:t xml:space="preserve">This may be the result of missing ancillary data for a subset of the pixels.</w:t>
      </w:r>
    </w:p>
    <w:bookmarkEnd w:id="109"/>
    <w:bookmarkStart w:id="110"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10"/>
    <w:bookmarkStart w:id="111" w:name="assessment-19"/>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1"/>
    <w:bookmarkEnd w:id="112"/>
    <w:bookmarkStart w:id="116" w:name="sec:pxl-ppsatn"/>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pxl-ppsatn</w:t>
      </w:r>
    </w:p>
    <w:bookmarkStart w:id="113"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3"/>
    <w:bookmarkStart w:id="114" w:name="goal-requirements-20"/>
    <w:p>
      <w:pPr>
        <w:pStyle w:val="berschrift5"/>
      </w:pPr>
      <w:r>
        <w:t xml:space="preserve">Goal requirements:</w:t>
      </w:r>
    </w:p>
    <w:p>
      <w:pPr>
        <w:pStyle w:val="FirstParagraph"/>
      </w:pPr>
      <w:r>
        <w:t xml:space="preserve">Metadata indicates which pixels are saturated for each spectral band.</w:t>
      </w:r>
    </w:p>
    <w:bookmarkEnd w:id="114"/>
    <w:bookmarkStart w:id="115" w:name="assessment-20"/>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15"/>
    <w:bookmarkEnd w:id="116"/>
    <w:bookmarkStart w:id="120" w:name="sec:pxl-ppclo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pxl-ppclod</w:t>
      </w:r>
    </w:p>
    <w:bookmarkStart w:id="117" w:name="threshold-requirements-21"/>
    <w:p>
      <w:pPr>
        <w:pStyle w:val="berschrift5"/>
      </w:pPr>
      <w:r>
        <w:t xml:space="preserve">Threshold requirements:</w:t>
      </w:r>
    </w:p>
    <w:p>
      <w:pPr>
        <w:pStyle w:val="FirstParagraph"/>
      </w:pPr>
      <w:r>
        <w:t xml:space="preserve">Metadata indicates whether a pixel is assessed as being cloud.</w:t>
      </w:r>
    </w:p>
    <w:bookmarkEnd w:id="117"/>
    <w:bookmarkStart w:id="118"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18"/>
    <w:bookmarkStart w:id="119"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19"/>
    <w:bookmarkEnd w:id="120"/>
    <w:bookmarkStart w:id="124" w:name="sec:pxl-ppclsd"/>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pxl-ppclsd</w:t>
      </w:r>
    </w:p>
    <w:bookmarkStart w:id="121" w:name="threshold-requirements-22"/>
    <w:p>
      <w:pPr>
        <w:pStyle w:val="berschrift5"/>
      </w:pPr>
      <w:r>
        <w:t xml:space="preserve">Threshold requirements:</w:t>
      </w:r>
    </w:p>
    <w:p>
      <w:pPr>
        <w:pStyle w:val="FirstParagraph"/>
      </w:pPr>
      <w:r>
        <w:t xml:space="preserve">Metadata indicates whether a pixel is assessed as being cloud shadow.</w:t>
      </w:r>
    </w:p>
    <w:bookmarkEnd w:id="121"/>
    <w:bookmarkStart w:id="122" w:name="goal-requirements-22"/>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2"/>
    <w:bookmarkStart w:id="123"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3"/>
    <w:bookmarkEnd w:id="124"/>
    <w:bookmarkStart w:id="128" w:name="sec:pxl-pplwsr"/>
    <w:p>
      <w:pPr>
        <w:pStyle w:val="berschrift4"/>
      </w:pPr>
      <w:r>
        <w:rPr>
          <w:rStyle w:val="VerbatimChar"/>
        </w:rPr>
        <w:t xml:space="preserve">2.7.</w:t>
      </w:r>
      <w:r>
        <w:t xml:space="preserve"> </w:t>
      </w:r>
      <w:r>
        <w:t xml:space="preserve">Land/Water Mask</w:t>
      </w:r>
    </w:p>
    <w:p>
      <w:pPr>
        <w:pStyle w:val="FirstParagraph"/>
      </w:pPr>
      <w:r>
        <w:t xml:space="preserve">Identifier:</w:t>
      </w:r>
      <w:r>
        <w:t xml:space="preserve"> </w:t>
      </w:r>
      <w:r>
        <w:rPr>
          <w:rStyle w:val="VerbatimChar"/>
        </w:rPr>
        <w:t xml:space="preserve">pxl-pplwsr</w:t>
      </w:r>
    </w:p>
    <w:bookmarkStart w:id="125" w:name="threshold-requirements-23"/>
    <w:p>
      <w:pPr>
        <w:pStyle w:val="berschrift5"/>
      </w:pPr>
      <w:r>
        <w:t xml:space="preserve">Threshold requirements:</w:t>
      </w:r>
    </w:p>
    <w:p>
      <w:pPr>
        <w:pStyle w:val="FirstParagraph"/>
      </w:pPr>
      <w:r>
        <w:t xml:space="preserve">Not required.</w:t>
      </w:r>
      <w:r>
        <w:t xml:space="preserve"> </w:t>
      </w:r>
    </w:p>
    <w:bookmarkEnd w:id="125"/>
    <w:bookmarkStart w:id="126" w:name="goal-requirements-23"/>
    <w:p>
      <w:pPr>
        <w:pStyle w:val="berschrift5"/>
      </w:pPr>
      <w:r>
        <w:t xml:space="preserve">Goal requirements:</w:t>
      </w:r>
    </w:p>
    <w:p>
      <w:pPr>
        <w:pStyle w:val="FirstParagraph"/>
      </w:pPr>
      <w:r>
        <w:t xml:space="preserve">The metadata indicates whether a pixel is assessed as being land or water. Information on land/water mask should be available in the metadata as a single DOI landing page.</w:t>
      </w:r>
    </w:p>
    <w:bookmarkEnd w:id="126"/>
    <w:bookmarkStart w:id="127"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7"/>
    <w:bookmarkEnd w:id="128"/>
    <w:bookmarkStart w:id="132" w:name="sec:pxl-ppsisr"/>
    <w:p>
      <w:pPr>
        <w:pStyle w:val="berschrift4"/>
      </w:pPr>
      <w:r>
        <w:rPr>
          <w:rStyle w:val="VerbatimChar"/>
        </w:rPr>
        <w:t xml:space="preserve">2.8.</w:t>
      </w:r>
      <w:r>
        <w:t xml:space="preserve"> </w:t>
      </w:r>
      <w:r>
        <w:t xml:space="preserve">Snow/Ice Mask</w:t>
      </w:r>
    </w:p>
    <w:p>
      <w:pPr>
        <w:pStyle w:val="FirstParagraph"/>
      </w:pPr>
      <w:r>
        <w:t xml:space="preserve">Identifier:</w:t>
      </w:r>
      <w:r>
        <w:t xml:space="preserve"> </w:t>
      </w:r>
      <w:r>
        <w:rPr>
          <w:rStyle w:val="VerbatimChar"/>
        </w:rPr>
        <w:t xml:space="preserve">pxl-ppsisr</w:t>
      </w:r>
    </w:p>
    <w:bookmarkStart w:id="129" w:name="threshold-requirements-24"/>
    <w:p>
      <w:pPr>
        <w:pStyle w:val="berschrift5"/>
      </w:pPr>
      <w:r>
        <w:t xml:space="preserve">Threshold requirements:</w:t>
      </w:r>
    </w:p>
    <w:p>
      <w:pPr>
        <w:pStyle w:val="FirstParagraph"/>
      </w:pPr>
      <w:r>
        <w:t xml:space="preserve">Not required.</w:t>
      </w:r>
      <w:r>
        <w:t xml:space="preserve"> </w:t>
      </w:r>
    </w:p>
    <w:bookmarkEnd w:id="129"/>
    <w:bookmarkStart w:id="130" w:name="goal-requirements-24"/>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30"/>
    <w:bookmarkStart w:id="131" w:name="assessment-24"/>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1"/>
    <w:bookmarkEnd w:id="132"/>
    <w:bookmarkStart w:id="136" w:name="sec:pxl-pptshr"/>
    <w:p>
      <w:pPr>
        <w:pStyle w:val="berschrift4"/>
      </w:pPr>
      <w:r>
        <w:rPr>
          <w:rStyle w:val="VerbatimChar"/>
        </w:rPr>
        <w:t xml:space="preserve">2.9.</w:t>
      </w:r>
      <w:r>
        <w:t xml:space="preserve"> </w:t>
      </w:r>
      <w:r>
        <w:t xml:space="preserve">Terrain Shadow Mask</w:t>
      </w:r>
    </w:p>
    <w:p>
      <w:pPr>
        <w:pStyle w:val="FirstParagraph"/>
      </w:pPr>
      <w:r>
        <w:t xml:space="preserve">Identifier:</w:t>
      </w:r>
      <w:r>
        <w:t xml:space="preserve"> </w:t>
      </w:r>
      <w:r>
        <w:rPr>
          <w:rStyle w:val="VerbatimChar"/>
        </w:rPr>
        <w:t xml:space="preserve">pxl-pptshr</w:t>
      </w:r>
    </w:p>
    <w:bookmarkStart w:id="133" w:name="threshold-requirements-25"/>
    <w:p>
      <w:pPr>
        <w:pStyle w:val="berschrift5"/>
      </w:pPr>
      <w:r>
        <w:t xml:space="preserve">Threshold requirements:</w:t>
      </w:r>
    </w:p>
    <w:p>
      <w:pPr>
        <w:pStyle w:val="FirstParagraph"/>
      </w:pPr>
      <w:r>
        <w:t xml:space="preserve">Not required.</w:t>
      </w:r>
      <w:r>
        <w:t xml:space="preserve"> </w:t>
      </w:r>
    </w:p>
    <w:bookmarkEnd w:id="133"/>
    <w:bookmarkStart w:id="134" w:name="goal-requirements-25"/>
    <w:p>
      <w:pPr>
        <w:pStyle w:val="berschrift5"/>
      </w:pPr>
      <w:r>
        <w:t xml:space="preserve">Goal requirements:</w:t>
      </w:r>
    </w:p>
    <w:p>
      <w:pPr>
        <w:pStyle w:val="FirstParagraph"/>
      </w:pPr>
      <w:r>
        <w:t xml:space="preserve">The metadata indicates pixels that are not directly illuminated due to terrain shadowing.</w:t>
      </w:r>
    </w:p>
    <w:bookmarkEnd w:id="134"/>
    <w:bookmarkStart w:id="135" w:name="assessment-25"/>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5"/>
    <w:bookmarkEnd w:id="136"/>
    <w:bookmarkStart w:id="140" w:name="sec:pxl-pptocc"/>
    <w:p>
      <w:pPr>
        <w:pStyle w:val="berschrift4"/>
      </w:pPr>
      <w:r>
        <w:rPr>
          <w:rStyle w:val="VerbatimChar"/>
        </w:rPr>
        <w:t xml:space="preserve">2.10.</w:t>
      </w:r>
      <w:r>
        <w:t xml:space="preserve"> </w:t>
      </w:r>
      <w:r>
        <w:t xml:space="preserve">Terrain Occlusion</w:t>
      </w:r>
    </w:p>
    <w:p>
      <w:pPr>
        <w:pStyle w:val="FirstParagraph"/>
      </w:pPr>
      <w:r>
        <w:t xml:space="preserve">Identifier:</w:t>
      </w:r>
      <w:r>
        <w:t xml:space="preserve"> </w:t>
      </w:r>
      <w:r>
        <w:rPr>
          <w:rStyle w:val="VerbatimChar"/>
        </w:rPr>
        <w:t xml:space="preserve">pxl-pptocc</w:t>
      </w:r>
    </w:p>
    <w:bookmarkStart w:id="137" w:name="threshold-requirements-26"/>
    <w:p>
      <w:pPr>
        <w:pStyle w:val="berschrift5"/>
      </w:pPr>
      <w:r>
        <w:t xml:space="preserve">Threshold requirements:</w:t>
      </w:r>
    </w:p>
    <w:p>
      <w:pPr>
        <w:pStyle w:val="FirstParagraph"/>
      </w:pPr>
      <w:r>
        <w:t xml:space="preserve">Not required.</w:t>
      </w:r>
      <w:r>
        <w:t xml:space="preserve"> </w:t>
      </w:r>
    </w:p>
    <w:bookmarkEnd w:id="137"/>
    <w:bookmarkStart w:id="138" w:name="goal-requirements-26"/>
    <w:p>
      <w:pPr>
        <w:pStyle w:val="berschrift5"/>
      </w:pPr>
      <w:r>
        <w:t xml:space="preserve">Goal requirements:</w:t>
      </w:r>
    </w:p>
    <w:p>
      <w:pPr>
        <w:pStyle w:val="FirstParagraph"/>
      </w:pPr>
      <w:r>
        <w:t xml:space="preserve">The metadata indicates pixels that are not visible to the sensor due to terrain occlusion during off-nadir viewing.</w:t>
      </w:r>
    </w:p>
    <w:bookmarkEnd w:id="138"/>
    <w:bookmarkStart w:id="139" w:name="assessment-26"/>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9"/>
    <w:bookmarkEnd w:id="140"/>
    <w:bookmarkStart w:id="144" w:name="sec:pxl-ppvaso"/>
    <w:p>
      <w:pPr>
        <w:pStyle w:val="berschrift4"/>
      </w:pPr>
      <w:r>
        <w:rPr>
          <w:rStyle w:val="VerbatimChar"/>
        </w:rPr>
        <w:t xml:space="preserve">2.11.</w:t>
      </w:r>
      <w:r>
        <w:t xml:space="preserve"> </w:t>
      </w:r>
      <w:r>
        <w:t xml:space="preserve">Solar and Viewing Geometry</w:t>
      </w:r>
    </w:p>
    <w:p>
      <w:pPr>
        <w:pStyle w:val="FirstParagraph"/>
      </w:pPr>
      <w:r>
        <w:t xml:space="preserve">Identifier:</w:t>
      </w:r>
      <w:r>
        <w:t xml:space="preserve"> </w:t>
      </w:r>
      <w:r>
        <w:rPr>
          <w:rStyle w:val="VerbatimChar"/>
        </w:rPr>
        <w:t xml:space="preserve">pxl-ppvaso</w:t>
      </w:r>
    </w:p>
    <w:bookmarkStart w:id="141" w:name="threshold-requirements-27"/>
    <w:p>
      <w:pPr>
        <w:pStyle w:val="berschrift5"/>
      </w:pPr>
      <w:r>
        <w:t xml:space="preserve">Threshold requirements:</w:t>
      </w:r>
    </w:p>
    <w:p>
      <w:pPr>
        <w:pStyle w:val="FirstParagraph"/>
      </w:pPr>
      <w:r>
        <w:t xml:space="preserve">Provide average solar and sensor viewing azimuth and zenith angles.</w:t>
      </w:r>
    </w:p>
    <w:bookmarkEnd w:id="141"/>
    <w:bookmarkStart w:id="142" w:name="goal-requirements-27"/>
    <w:p>
      <w:pPr>
        <w:pStyle w:val="berschrift5"/>
      </w:pPr>
      <w:r>
        <w:t xml:space="preserve">Goal requirements:</w:t>
      </w:r>
    </w:p>
    <w:p>
      <w:pPr>
        <w:pStyle w:val="FirstParagraph"/>
      </w:pPr>
      <w:r>
        <w:t xml:space="preserve">Provide per-pixel solar and sensor viewing azimuth and zenith angles.</w:t>
      </w:r>
    </w:p>
    <w:bookmarkEnd w:id="142"/>
    <w:bookmarkStart w:id="143"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3"/>
    <w:bookmarkEnd w:id="144"/>
    <w:bookmarkStart w:id="148" w:name="sec:pxl-pptill"/>
    <w:p>
      <w:pPr>
        <w:pStyle w:val="berschrift4"/>
      </w:pPr>
      <w:r>
        <w:rPr>
          <w:rStyle w:val="VerbatimChar"/>
        </w:rPr>
        <w:t xml:space="preserve">2.12.</w:t>
      </w:r>
      <w:r>
        <w:t xml:space="preserve"> </w:t>
      </w:r>
      <w:r>
        <w:t xml:space="preserve">Terrain Illumination Correction</w:t>
      </w:r>
    </w:p>
    <w:p>
      <w:pPr>
        <w:pStyle w:val="FirstParagraph"/>
      </w:pPr>
      <w:r>
        <w:t xml:space="preserve">Identifier:</w:t>
      </w:r>
      <w:r>
        <w:t xml:space="preserve"> </w:t>
      </w:r>
      <w:r>
        <w:rPr>
          <w:rStyle w:val="VerbatimChar"/>
        </w:rPr>
        <w:t xml:space="preserve">pxl-pptill</w:t>
      </w:r>
    </w:p>
    <w:bookmarkStart w:id="145" w:name="threshold-requirements-28"/>
    <w:p>
      <w:pPr>
        <w:pStyle w:val="berschrift5"/>
      </w:pPr>
      <w:r>
        <w:t xml:space="preserve">Threshold requirements:</w:t>
      </w:r>
    </w:p>
    <w:p>
      <w:pPr>
        <w:pStyle w:val="FirstParagraph"/>
      </w:pPr>
      <w:r>
        <w:t xml:space="preserve">Not required.</w:t>
      </w:r>
      <w:r>
        <w:t xml:space="preserve"> </w:t>
      </w:r>
    </w:p>
    <w:bookmarkEnd w:id="145"/>
    <w:bookmarkStart w:id="146" w:name="goal-requirements-28"/>
    <w:p>
      <w:pPr>
        <w:pStyle w:val="berschrift5"/>
      </w:pPr>
      <w:r>
        <w:t xml:space="preserve">Goal requirements:</w:t>
      </w:r>
    </w:p>
    <w:p>
      <w:pPr>
        <w:pStyle w:val="FirstParagraph"/>
      </w:pPr>
      <w:r>
        <w:t xml:space="preserve">Coefficients used for terrain illumination correction are provided for each pixel.</w:t>
      </w:r>
    </w:p>
    <w:bookmarkEnd w:id="146"/>
    <w:bookmarkStart w:id="147" w:name="assessment-28"/>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bookmarkEnd w:id="147"/>
    <w:bookmarkEnd w:id="148"/>
    <w:bookmarkEnd w:id="149"/>
    <w:bookmarkStart w:id="174"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w:t>
      </w:r>
    </w:p>
    <w:bookmarkStart w:id="153" w:name="sec:rac-mss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rac-mssr</w:t>
      </w:r>
    </w:p>
    <w:bookmarkStart w:id="150" w:name="threshold-requirements-29"/>
    <w:p>
      <w:pPr>
        <w:pStyle w:val="berschrift5"/>
      </w:pPr>
      <w:r>
        <w:t xml:space="preserve">Threshold requirements:</w:t>
      </w:r>
    </w:p>
    <w:p>
      <w:pPr>
        <w:pStyle w:val="FirstParagraph"/>
      </w:pPr>
      <w:r>
        <w:t xml:space="preserve">Pixel values are expressed as a measurement of the Surface Reflectance of the land. This is a dimensionless value.</w:t>
      </w:r>
    </w:p>
    <w:p>
      <w:pPr>
        <w:pStyle w:val="Textkrper"/>
      </w:pPr>
      <w:r>
        <w:t xml:space="preserve">Notes:</w:t>
      </w:r>
    </w:p>
    <w:p>
      <w:pPr>
        <w:pStyle w:val="Compact"/>
        <w:numPr>
          <w:ilvl w:val="0"/>
          <w:numId w:val="1043"/>
        </w:numPr>
      </w:pPr>
      <w:r>
        <w:t xml:space="preserve">Radiometric corrections must lead to a valid measurement of surface reflectance.</w:t>
      </w:r>
    </w:p>
    <w:bookmarkEnd w:id="150"/>
    <w:bookmarkStart w:id="151" w:name="goal-requirements-29"/>
    <w:p>
      <w:pPr>
        <w:pStyle w:val="berschrift5"/>
      </w:pPr>
      <w:r>
        <w:t xml:space="preserve">Goal requirements:</w:t>
      </w:r>
    </w:p>
    <w:p>
      <w:pPr>
        <w:pStyle w:val="FirstParagraph"/>
      </w:pPr>
      <w:r>
        <w:t xml:space="preserve">Surface Reflectance measurements are SI traceable (see also Section </w:t>
      </w:r>
      <w:r>
        <w:t xml:space="preserve">“</w:t>
      </w:r>
      <w:hyperlink w:anchor="sec:meta-trcsr">
        <w:r>
          <w:rPr>
            <w:rStyle w:val="Hyperlink"/>
          </w:rPr>
          <w:t xml:space="preserve">General Metadata: Traceability</w:t>
        </w:r>
      </w:hyperlink>
      <w:r>
        <w:t xml:space="preserve">”</w:t>
      </w:r>
      <w:r>
        <w:t xml:space="preserve">).</w:t>
      </w:r>
    </w:p>
    <w:bookmarkEnd w:id="151"/>
    <w:bookmarkStart w:id="152"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2"/>
    <w:bookmarkEnd w:id="153"/>
    <w:bookmarkStart w:id="157" w:name="sec:rac-uncs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rac-uncsr</w:t>
      </w:r>
    </w:p>
    <w:p>
      <w:pPr>
        <w:pStyle w:val="Textkrper"/>
      </w:pPr>
      <w:r>
        <w:t xml:space="preserve">Note: In current practice, users determine fitness for purpose based on knowledge of the lineage of the data, rather than on a specific estimate of measurement uncertainty.</w:t>
      </w:r>
    </w:p>
    <w:bookmarkStart w:id="154" w:name="threshold-requirements-30"/>
    <w:p>
      <w:pPr>
        <w:pStyle w:val="berschrift5"/>
      </w:pPr>
      <w:r>
        <w:t xml:space="preserve">Threshold requirements:</w:t>
      </w:r>
    </w:p>
    <w:p>
      <w:pPr>
        <w:pStyle w:val="FirstParagraph"/>
      </w:pPr>
      <w:r>
        <w:t xml:space="preserve">Not required.</w:t>
      </w:r>
      <w:r>
        <w:t xml:space="preserve"> </w:t>
      </w:r>
    </w:p>
    <w:bookmarkEnd w:id="154"/>
    <w:bookmarkStart w:id="155" w:name="goal-requirements-30"/>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45"/>
        </w:numPr>
      </w:pPr>
      <w:r>
        <w:t xml:space="preserve">This is a requirement for SI traceability. See also Section </w:t>
      </w:r>
      <w:r>
        <w:t xml:space="preserve">“</w:t>
      </w:r>
      <w:hyperlink w:anchor="sec:meta-trcsr">
        <w:r>
          <w:rPr>
            <w:rStyle w:val="Hyperlink"/>
          </w:rPr>
          <w:t xml:space="preserve">General Metadata: Traceability</w:t>
        </w:r>
      </w:hyperlink>
      <w:r>
        <w:t xml:space="preserve">”</w:t>
      </w:r>
      <w:r>
        <w:t xml:space="preserve">.</w:t>
      </w:r>
    </w:p>
    <w:p>
      <w:pPr>
        <w:pStyle w:val="Compact"/>
        <w:numPr>
          <w:ilvl w:val="0"/>
          <w:numId w:val="1045"/>
        </w:numPr>
      </w:pPr>
      <w:r>
        <w:t xml:space="preserve">Information on measurement uncertainty should be available in the metadata as a single DOI landing page.</w:t>
      </w:r>
    </w:p>
    <w:bookmarkEnd w:id="155"/>
    <w:bookmarkStart w:id="156"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6"/>
    <w:bookmarkEnd w:id="157"/>
    <w:bookmarkStart w:id="161" w:name="sec:rac-nrmsr"/>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rac-nrmsr</w:t>
      </w:r>
    </w:p>
    <w:bookmarkStart w:id="158" w:name="threshold-requirements-31"/>
    <w:p>
      <w:pPr>
        <w:pStyle w:val="berschrift5"/>
      </w:pPr>
      <w:r>
        <w:t xml:space="preserve">Threshold requirements:</w:t>
      </w:r>
    </w:p>
    <w:p>
      <w:pPr>
        <w:pStyle w:val="FirstParagraph"/>
      </w:pPr>
      <w:r>
        <w:t xml:space="preserve">Not required.</w:t>
      </w:r>
      <w:r>
        <w:t xml:space="preserve"> </w:t>
      </w:r>
    </w:p>
    <w:bookmarkEnd w:id="158"/>
    <w:bookmarkStart w:id="159" w:name="goal-requirements-31"/>
    <w:p>
      <w:pPr>
        <w:pStyle w:val="berschrift5"/>
      </w:pPr>
      <w:r>
        <w:t xml:space="preserve">Goal requirements:</w:t>
      </w:r>
    </w:p>
    <w:p>
      <w:pPr>
        <w:pStyle w:val="FirstParagraph"/>
      </w:pPr>
      <w:r>
        <w:t xml:space="preserve">Measurements are normalised for solar and viewing conditions (i.e., nadir view angle and average solar angles). This may include terrain illumination and/or Bi-Directional Reflectance Function (BRDF) correction.</w:t>
      </w:r>
    </w:p>
    <w:p>
      <w:pPr>
        <w:pStyle w:val="Textkrper"/>
      </w:pPr>
      <w:r>
        <w:t xml:space="preserve">Notes:</w:t>
      </w:r>
    </w:p>
    <w:p>
      <w:pPr>
        <w:pStyle w:val="Compact"/>
        <w:numPr>
          <w:ilvl w:val="0"/>
          <w:numId w:val="1047"/>
        </w:numPr>
      </w:pPr>
      <w:r>
        <w:t xml:space="preserve">Information on measurement normalisation should be available in the metadata as a single DOI landing page.</w:t>
      </w:r>
    </w:p>
    <w:bookmarkEnd w:id="159"/>
    <w:bookmarkStart w:id="160"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0"/>
    <w:bookmarkEnd w:id="161"/>
    <w:bookmarkStart w:id="165" w:name="sec:rac-dirsct"/>
    <w:p>
      <w:pPr>
        <w:pStyle w:val="berschrift4"/>
      </w:pPr>
      <w:r>
        <w:rPr>
          <w:rStyle w:val="VerbatimChar"/>
        </w:rPr>
        <w:t xml:space="preserve">3.4.</w:t>
      </w:r>
      <w:r>
        <w:t xml:space="preserve"> </w:t>
      </w:r>
      <w:r>
        <w:t xml:space="preserve">Directional Atmospheric Scattering</w:t>
      </w:r>
    </w:p>
    <w:p>
      <w:pPr>
        <w:pStyle w:val="FirstParagraph"/>
      </w:pPr>
      <w:r>
        <w:t xml:space="preserve">Identifier:</w:t>
      </w:r>
      <w:r>
        <w:t xml:space="preserve"> </w:t>
      </w:r>
      <w:r>
        <w:rPr>
          <w:rStyle w:val="VerbatimChar"/>
        </w:rPr>
        <w:t xml:space="preserve">rac-dirsct</w:t>
      </w:r>
    </w:p>
    <w:bookmarkStart w:id="162" w:name="threshold-requirements-32"/>
    <w:p>
      <w:pPr>
        <w:pStyle w:val="berschrift5"/>
      </w:pPr>
      <w:r>
        <w:t xml:space="preserve">Threshold requirements:</w:t>
      </w:r>
    </w:p>
    <w:p>
      <w:pPr>
        <w:pStyle w:val="FirstParagraph"/>
      </w:pPr>
      <w:r>
        <w:t xml:space="preserve">Corrections are applied for aerosols and molecular (Rayleigh) scattering.</w:t>
      </w:r>
    </w:p>
    <w:p>
      <w:pPr>
        <w:pStyle w:val="Textkrper"/>
      </w:pPr>
      <w:r>
        <w:t xml:space="preserve">Metadata contains a single DOI landing page with references to:</w:t>
      </w:r>
    </w:p>
    <w:p>
      <w:pPr>
        <w:pStyle w:val="Compact"/>
        <w:numPr>
          <w:ilvl w:val="0"/>
          <w:numId w:val="1049"/>
        </w:numPr>
      </w:pPr>
      <w:r>
        <w:t xml:space="preserve">a citable peer-reviewed algorithm</w:t>
      </w:r>
    </w:p>
    <w:p>
      <w:pPr>
        <w:pStyle w:val="Compact"/>
        <w:numPr>
          <w:ilvl w:val="0"/>
          <w:numId w:val="1049"/>
        </w:numPr>
      </w:pPr>
      <w:r>
        <w:t xml:space="preserve">technical documentation regarding the implementation of that algorithm</w:t>
      </w:r>
    </w:p>
    <w:p>
      <w:pPr>
        <w:pStyle w:val="Compact"/>
        <w:numPr>
          <w:ilvl w:val="0"/>
          <w:numId w:val="1049"/>
        </w:numPr>
      </w:pPr>
      <w:r>
        <w:t xml:space="preserve">the sources of ancillary data used to make corrections</w:t>
      </w:r>
    </w:p>
    <w:p>
      <w:pPr>
        <w:pStyle w:val="FirstParagraph"/>
      </w:pPr>
      <w:r>
        <w:t xml:space="preserve">Notes:</w:t>
      </w:r>
    </w:p>
    <w:p>
      <w:pPr>
        <w:pStyle w:val="Compact"/>
        <w:numPr>
          <w:ilvl w:val="0"/>
          <w:numId w:val="1050"/>
        </w:numPr>
      </w:pPr>
      <w:r>
        <w:t xml:space="preserve">Examples of technical documentation include an Algorithm Theoretical Basis Document, product user guide, etc.</w:t>
      </w:r>
    </w:p>
    <w:bookmarkEnd w:id="162"/>
    <w:bookmarkStart w:id="163" w:name="goal-requirements-32"/>
    <w:p>
      <w:pPr>
        <w:pStyle w:val="berschrift5"/>
      </w:pPr>
      <w:r>
        <w:t xml:space="preserve">Goal requirements:</w:t>
      </w:r>
    </w:p>
    <w:p>
      <w:pPr>
        <w:pStyle w:val="FirstParagraph"/>
      </w:pPr>
      <w:r>
        <w:t xml:space="preserve">As threshold.</w:t>
      </w:r>
      <w:r>
        <w:t xml:space="preserve"> </w:t>
      </w:r>
    </w:p>
    <w:bookmarkEnd w:id="163"/>
    <w:bookmarkStart w:id="164"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4"/>
    <w:bookmarkEnd w:id="165"/>
    <w:bookmarkStart w:id="169" w:name="sec:rac-wvapor"/>
    <w:p>
      <w:pPr>
        <w:pStyle w:val="berschrift4"/>
      </w:pPr>
      <w:r>
        <w:rPr>
          <w:rStyle w:val="VerbatimChar"/>
        </w:rPr>
        <w:t xml:space="preserve">3.5.</w:t>
      </w:r>
      <w:r>
        <w:t xml:space="preserve"> </w:t>
      </w:r>
      <w:r>
        <w:t xml:space="preserve">Water Vapour Corrections</w:t>
      </w:r>
    </w:p>
    <w:p>
      <w:pPr>
        <w:pStyle w:val="FirstParagraph"/>
      </w:pPr>
      <w:r>
        <w:t xml:space="preserve">Identifier:</w:t>
      </w:r>
      <w:r>
        <w:t xml:space="preserve"> </w:t>
      </w:r>
      <w:r>
        <w:rPr>
          <w:rStyle w:val="VerbatimChar"/>
        </w:rPr>
        <w:t xml:space="preserve">rac-wvapor</w:t>
      </w:r>
    </w:p>
    <w:bookmarkStart w:id="166" w:name="threshold-requirements-33"/>
    <w:p>
      <w:pPr>
        <w:pStyle w:val="berschrift5"/>
      </w:pPr>
      <w:r>
        <w:t xml:space="preserve">Threshold requirements:</w:t>
      </w:r>
    </w:p>
    <w:p>
      <w:pPr>
        <w:pStyle w:val="FirstParagraph"/>
      </w:pPr>
      <w:r>
        <w:t xml:space="preserve">Corrections are applied for water vapour. Metadata contains a single DOI landing page with references to:</w:t>
      </w:r>
    </w:p>
    <w:p>
      <w:pPr>
        <w:pStyle w:val="Compact"/>
        <w:numPr>
          <w:ilvl w:val="0"/>
          <w:numId w:val="1052"/>
        </w:numPr>
      </w:pPr>
      <w:r>
        <w:t xml:space="preserve">a citable peer-reviewed algorithm</w:t>
      </w:r>
    </w:p>
    <w:p>
      <w:pPr>
        <w:pStyle w:val="Compact"/>
        <w:numPr>
          <w:ilvl w:val="0"/>
          <w:numId w:val="1052"/>
        </w:numPr>
      </w:pPr>
      <w:r>
        <w:t xml:space="preserve">technical documentation regarding the implementation of that algorithm</w:t>
      </w:r>
    </w:p>
    <w:p>
      <w:pPr>
        <w:pStyle w:val="FirstParagraph"/>
      </w:pPr>
      <w:r>
        <w:t xml:space="preserve">Notes:</w:t>
      </w:r>
    </w:p>
    <w:p>
      <w:pPr>
        <w:pStyle w:val="Compact"/>
        <w:numPr>
          <w:ilvl w:val="0"/>
          <w:numId w:val="1053"/>
        </w:numPr>
      </w:pPr>
      <w:r>
        <w:t xml:space="preserve">Examples of technical documentation include an Algorithm Theoretical Basis Document, product user guide, etc.</w:t>
      </w:r>
    </w:p>
    <w:bookmarkEnd w:id="166"/>
    <w:bookmarkStart w:id="167" w:name="goal-requirements-33"/>
    <w:p>
      <w:pPr>
        <w:pStyle w:val="berschrift5"/>
      </w:pPr>
      <w:r>
        <w:t xml:space="preserve">Goal requirements:</w:t>
      </w:r>
    </w:p>
    <w:p>
      <w:pPr>
        <w:pStyle w:val="FirstParagraph"/>
      </w:pPr>
      <w:r>
        <w:t xml:space="preserve">As threshold.</w:t>
      </w:r>
      <w:r>
        <w:t xml:space="preserve"> </w:t>
      </w:r>
    </w:p>
    <w:bookmarkEnd w:id="167"/>
    <w:bookmarkStart w:id="168"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68"/>
    <w:bookmarkEnd w:id="169"/>
    <w:bookmarkStart w:id="173" w:name="sec:rac-ozone"/>
    <w:p>
      <w:pPr>
        <w:pStyle w:val="berschrift4"/>
      </w:pPr>
      <w:r>
        <w:rPr>
          <w:rStyle w:val="VerbatimChar"/>
        </w:rPr>
        <w:t xml:space="preserve">3.6.</w:t>
      </w:r>
      <w:r>
        <w:t xml:space="preserve"> </w:t>
      </w:r>
      <w:r>
        <w:t xml:space="preserve">Ozone Corrections</w:t>
      </w:r>
    </w:p>
    <w:p>
      <w:pPr>
        <w:pStyle w:val="FirstParagraph"/>
      </w:pPr>
      <w:r>
        <w:t xml:space="preserve">Identifier:</w:t>
      </w:r>
      <w:r>
        <w:t xml:space="preserve"> </w:t>
      </w:r>
      <w:r>
        <w:rPr>
          <w:rStyle w:val="VerbatimChar"/>
        </w:rPr>
        <w:t xml:space="preserve">rac-ozone</w:t>
      </w:r>
    </w:p>
    <w:bookmarkStart w:id="170" w:name="threshold-requirements-34"/>
    <w:p>
      <w:pPr>
        <w:pStyle w:val="berschrift5"/>
      </w:pPr>
      <w:r>
        <w:t xml:space="preserve">Threshold requirements:</w:t>
      </w:r>
    </w:p>
    <w:p>
      <w:pPr>
        <w:pStyle w:val="FirstParagraph"/>
      </w:pPr>
      <w:r>
        <w:t xml:space="preserve">Not required.</w:t>
      </w:r>
      <w:r>
        <w:t xml:space="preserve"> </w:t>
      </w:r>
    </w:p>
    <w:bookmarkEnd w:id="170"/>
    <w:bookmarkStart w:id="171" w:name="goal-requirements-34"/>
    <w:p>
      <w:pPr>
        <w:pStyle w:val="berschrift5"/>
      </w:pPr>
      <w:r>
        <w:t xml:space="preserve">Goal requirements:</w:t>
      </w:r>
    </w:p>
    <w:p>
      <w:pPr>
        <w:pStyle w:val="FirstParagraph"/>
      </w:pPr>
      <w:r>
        <w:t xml:space="preserve">Data is corrected for ozone.</w:t>
      </w:r>
    </w:p>
    <w:p>
      <w:pPr>
        <w:pStyle w:val="Textkrper"/>
      </w:pPr>
      <w:r>
        <w:t xml:space="preserve">Relevant metadata must be provided under Section </w:t>
      </w:r>
      <w:r>
        <w:t xml:space="preserve">“</w:t>
      </w:r>
      <w:hyperlink w:anchor="sec:meta-gmasr">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Metadata contains a single DOI landing page with references to:</w:t>
      </w:r>
    </w:p>
    <w:p>
      <w:pPr>
        <w:pStyle w:val="Compact"/>
        <w:numPr>
          <w:ilvl w:val="0"/>
          <w:numId w:val="1055"/>
        </w:numPr>
      </w:pPr>
      <w:r>
        <w:t xml:space="preserve">a citable peer-reviewed algorithm</w:t>
      </w:r>
    </w:p>
    <w:p>
      <w:pPr>
        <w:pStyle w:val="Compact"/>
        <w:numPr>
          <w:ilvl w:val="0"/>
          <w:numId w:val="1055"/>
        </w:numPr>
      </w:pPr>
      <w:r>
        <w:t xml:space="preserve">technical documentation regarding the implementation of that algorithm</w:t>
      </w:r>
    </w:p>
    <w:bookmarkEnd w:id="171"/>
    <w:bookmarkStart w:id="172" w:name="assessment-34"/>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bookmarkEnd w:id="172"/>
    <w:bookmarkEnd w:id="173"/>
    <w:bookmarkEnd w:id="174"/>
    <w:bookmarkStart w:id="179"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78" w:name="sec:gcor-geocs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gcor-geocsr</w:t>
      </w:r>
    </w:p>
    <w:bookmarkStart w:id="175" w:name="threshold-requirements-35"/>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gmasr">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57"/>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75"/>
    <w:bookmarkStart w:id="176" w:name="goal-requirements-35"/>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masr">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58"/>
        </w:numPr>
      </w:pPr>
      <w:r>
        <w:t xml:space="preserve">This requirement is intended to enable interoperability between imagery from different platforms that meet this level of correction, and with non-image spatial data such as GIS layers and terrain models.</w:t>
      </w:r>
    </w:p>
    <w:bookmarkEnd w:id="176"/>
    <w:bookmarkStart w:id="177"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br w:type="page"/>
      </w:r>
    </w:p>
    <w:bookmarkEnd w:id="177"/>
    <w:bookmarkEnd w:id="178"/>
    <w:bookmarkEnd w:id="179"/>
    <w:bookmarkEnd w:id="180"/>
    <w:bookmarkStart w:id="185" w:name="summary-self-assessment-table"/>
    <w:p>
      <w:pPr>
        <w:pStyle w:val="berschrift2"/>
      </w:pPr>
      <w:r>
        <w:t xml:space="preserve">Summary Self-Assessment Table</w:t>
      </w:r>
    </w:p>
    <w:bookmarkStart w:id="181"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meta-mrdopt</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meta-timsr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meta-geoasr</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meta-crsopt</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meta-mpsr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meta-gmcmsr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meta-gmasr</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meta-insopt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meta-spcbnd</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meta-scaopt</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meta-rmasr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meta-algosr</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meta-auxopt</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meta-pcpsr</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meta-dqlsr</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81"/>
    <w:bookmarkStart w:id="182"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pxl-mrdppo</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pxl-ppnodt</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pxl-ppinct</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pxl-ppsatn</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pxl-ppclod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pxl-ppclsd</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pxl-pplwsr</w:t>
            </w:r>
          </w:p>
        </w:tc>
        <w:tc>
          <w:tcPr/>
          <w:p>
            <w:pPr>
              <w:pStyle w:val="Compact"/>
            </w:pPr>
            <w:r>
              <w:t xml:space="preserve">Land/Water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pxl-ppsisr</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pxl-pptshr</w:t>
            </w:r>
          </w:p>
        </w:tc>
        <w:tc>
          <w:tcPr/>
          <w:p>
            <w:pPr>
              <w:pStyle w:val="Compact"/>
            </w:pPr>
            <w:r>
              <w:t xml:space="preserve">Terrain Shadow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pxl-pptocc</w:t>
            </w:r>
          </w:p>
        </w:tc>
        <w:tc>
          <w:tcPr/>
          <w:p>
            <w:pPr>
              <w:pStyle w:val="Compact"/>
            </w:pPr>
            <w:r>
              <w:t xml:space="preserve">Terrain Occlusion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pxl-ppvaso</w:t>
            </w:r>
          </w:p>
        </w:tc>
        <w:tc>
          <w:tcPr/>
          <w:p>
            <w:pPr>
              <w:pStyle w:val="Compact"/>
            </w:pPr>
            <w:r>
              <w:t xml:space="preserve">Solar and Viewing Geometry</w:t>
            </w:r>
          </w:p>
        </w:tc>
        <w:tc>
          <w:tcPr/>
          <w:p>
            <w:pPr>
              <w:pStyle w:val="Compact"/>
            </w:pPr>
          </w:p>
        </w:tc>
        <w:tc>
          <w:tcPr/>
          <w:p>
            <w:pPr>
              <w:pStyle w:val="Compact"/>
            </w:pPr>
          </w:p>
        </w:tc>
      </w:tr>
      <w:tr>
        <w:tc>
          <w:tcPr/>
          <w:p>
            <w:pPr>
              <w:pStyle w:val="Compact"/>
            </w:pPr>
            <w:r>
              <w:rPr>
                <w:rStyle w:val="VerbatimChar"/>
              </w:rPr>
              <w:t xml:space="preserve">pxl-pptill</w:t>
            </w:r>
          </w:p>
        </w:tc>
        <w:tc>
          <w:tcPr/>
          <w:p>
            <w:pPr>
              <w:pStyle w:val="Compact"/>
            </w:pPr>
            <w:r>
              <w:t xml:space="preserve">Terrain Illumination Correction</w:t>
            </w:r>
          </w:p>
        </w:tc>
        <w:tc>
          <w:tcPr/>
          <w:p>
            <w:pPr>
              <w:pStyle w:val="Compact"/>
              <w:jc w:val="center"/>
            </w:pPr>
            <w:r>
              <w:rPr>
                <w:i/>
                <w:iCs/>
              </w:rPr>
              <w:t xml:space="preserve">not required</w:t>
            </w:r>
          </w:p>
        </w:tc>
        <w:tc>
          <w:tcPr/>
          <w:p>
            <w:pPr>
              <w:pStyle w:val="Compact"/>
            </w:pPr>
          </w:p>
        </w:tc>
      </w:tr>
    </w:tbl>
    <w:bookmarkEnd w:id="182"/>
    <w:bookmarkStart w:id="183"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rac-mssr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rac-uncsr</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rac-nrmsr</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rac-dirsct</w:t>
            </w:r>
          </w:p>
        </w:tc>
        <w:tc>
          <w:tcPr/>
          <w:p>
            <w:pPr>
              <w:pStyle w:val="Compact"/>
            </w:pPr>
            <w:r>
              <w:t xml:space="preserve">Directional Atmospheric Scattering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rac-wvapor</w:t>
            </w:r>
          </w:p>
        </w:tc>
        <w:tc>
          <w:tcPr/>
          <w:p>
            <w:pPr>
              <w:pStyle w:val="Compact"/>
            </w:pPr>
            <w:r>
              <w:t xml:space="preserve">Water Vapour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rac-ozone</w:t>
            </w:r>
          </w:p>
        </w:tc>
        <w:tc>
          <w:tcPr/>
          <w:p>
            <w:pPr>
              <w:pStyle w:val="Compact"/>
            </w:pPr>
            <w:r>
              <w:t xml:space="preserve">Ozone Corrections</w:t>
            </w:r>
          </w:p>
        </w:tc>
        <w:tc>
          <w:tcPr/>
          <w:p>
            <w:pPr>
              <w:pStyle w:val="Compact"/>
              <w:jc w:val="center"/>
            </w:pPr>
            <w:r>
              <w:rPr>
                <w:i/>
                <w:iCs/>
              </w:rPr>
              <w:t xml:space="preserve">not required</w:t>
            </w:r>
          </w:p>
        </w:tc>
        <w:tc>
          <w:tcPr/>
          <w:p>
            <w:pPr>
              <w:pStyle w:val="Compact"/>
            </w:pPr>
          </w:p>
        </w:tc>
      </w:tr>
    </w:tbl>
    <w:bookmarkEnd w:id="183"/>
    <w:bookmarkStart w:id="184"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gcor-geocsr</w:t>
            </w:r>
          </w:p>
        </w:tc>
        <w:tc>
          <w:tcPr/>
          <w:p>
            <w:pPr>
              <w:pStyle w:val="Compact"/>
            </w:pPr>
            <w:r>
              <w:t xml:space="preserve">Geometric Correction</w:t>
            </w:r>
          </w:p>
        </w:tc>
        <w:tc>
          <w:tcPr/>
          <w:p>
            <w:pPr>
              <w:pStyle w:val="Compact"/>
            </w:pPr>
          </w:p>
        </w:tc>
        <w:tc>
          <w:tcPr/>
          <w:p>
            <w:pPr>
              <w:pStyle w:val="Compact"/>
            </w:pPr>
          </w:p>
        </w:tc>
      </w:tr>
    </w:tbl>
    <w:p>
      <w:r>
        <w:br w:type="page"/>
      </w:r>
    </w:p>
    <w:bookmarkEnd w:id="184"/>
    <w:bookmarkEnd w:id="185"/>
    <w:bookmarkStart w:id="190"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86"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86"/>
    <w:bookmarkStart w:id="188"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60"/>
        </w:numPr>
      </w:pPr>
      <w:r>
        <w:t xml:space="preserve">that product has been assessed as meeting CEOS-ARD requirements by the agency responsible for production and distribution of the product, and</w:t>
      </w:r>
    </w:p>
    <w:p>
      <w:pPr>
        <w:pStyle w:val="Compact"/>
        <w:numPr>
          <w:ilvl w:val="0"/>
          <w:numId w:val="106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87">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88"/>
    <w:bookmarkStart w:id="189"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89"/>
    <w:bookmarkEnd w:id="190"/>
    <w:bookmarkStart w:id="195" w:name="references"/>
    <w:p>
      <w:pPr>
        <w:pStyle w:val="berschrift2"/>
      </w:pPr>
      <w:r>
        <w:t xml:space="preserve">References</w:t>
      </w:r>
    </w:p>
    <w:bookmarkStart w:id="194" w:name="refs"/>
    <w:bookmarkStart w:id="191"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91"/>
    <w:bookmarkStart w:id="193"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192">
        <w:r>
          <w:rPr>
            <w:rStyle w:val="Hyperlink"/>
          </w:rPr>
          <w:t xml:space="preserve">https://doi.org/10.1016/j.rse.2012.06.018</w:t>
        </w:r>
      </w:hyperlink>
      <w:r>
        <w:t xml:space="preserve">.</w:t>
      </w:r>
    </w:p>
    <w:bookmarkEnd w:id="193"/>
    <w:bookmarkEnd w:id="194"/>
    <w:bookmarkEnd w:id="195"/>
    <w:bookmarkEnd w:id="196"/>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187" Target="https://ceos.org/ard/files/CEOS_ARD_Governance_Framework_18-October-2021.pdf" TargetMode="External" /><Relationship Type="http://schemas.openxmlformats.org/officeDocument/2006/relationships/hyperlink" Id="rId192" Target="https://doi.org/10.1016/j.rse.2012.06.018"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187" Target="https://ceos.org/ard/files/CEOS_ARD_Governance_Framework_18-October-2021.pdf" TargetMode="External" /><Relationship Type="http://schemas.openxmlformats.org/officeDocument/2006/relationships/hyperlink" Id="rId192" Target="https://doi.org/10.1016/j.rse.2012.06.018"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 - Version 5.0.1-draft</dc:title>
  <dc:creator/>
  <dc:language>en</dc:language>
  <cp:keywords/>
  <dcterms:created xsi:type="dcterms:W3CDTF">2026-03-29T18:14:16Z</dcterms:created>
  <dcterms:modified xsi:type="dcterms:W3CDTF">2026-03-29T18:14:16Z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