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189" w:name="ceos-ard---optical---surface-temperature"/>
    <w:p>
      <w:pPr>
        <w:pStyle w:val="berschrift1"/>
      </w:pPr>
      <w:r>
        <w:t xml:space="preserve">CEOS-ARD - Optical - Surface Temperature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Temperature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0" w:name="major"/>
    <w:p>
      <w:pPr>
        <w:pStyle w:val="berschrift3"/>
      </w:pPr>
      <w:r>
        <w:t xml:space="preserve">2026-08-14 (MAJOR)</w:t>
      </w:r>
    </w:p>
    <w:p>
      <w:pPr>
        <w:pStyle w:val="FirstParagraph"/>
      </w:pPr>
      <w:r>
        <w:rPr>
          <w:b/>
          <w:bCs/>
        </w:rPr>
        <w:t xml:space="preserve">This is a breaking change!</w:t>
      </w:r>
    </w:p>
    <w:p>
      <w:pPr>
        <w:pStyle w:val="Compact"/>
        <w:numPr>
          <w:ilvl w:val="0"/>
          <w:numId w:val="1001"/>
        </w:numPr>
      </w:pPr>
      <w:r>
        <w:t xml:space="preserve">Created separate requirements for</w:t>
      </w:r>
      <w:r>
        <w:t xml:space="preserve"> </w:t>
      </w:r>
      <w:r>
        <w:t xml:space="preserve">‘Corrections for Atmosphere’</w:t>
      </w:r>
      <w:r>
        <w:t xml:space="preserve"> </w:t>
      </w:r>
      <w:r>
        <w:t xml:space="preserve">and</w:t>
      </w:r>
      <w:r>
        <w:t xml:space="preserve"> </w:t>
      </w:r>
      <w:r>
        <w:t xml:space="preserve">‘Adjustments for Emissivity and Anisotropy’</w:t>
      </w:r>
      <w:r>
        <w:t xml:space="preserve">. Per-pixel emissivity information is now required at Threshold.</w:t>
      </w:r>
    </w:p>
    <w:p>
      <w:pPr>
        <w:pStyle w:val="Compact"/>
        <w:numPr>
          <w:ilvl w:val="0"/>
          <w:numId w:val="1001"/>
        </w:numPr>
      </w:pPr>
      <w:r>
        <w:t xml:space="preserve">Introduced a Threshold requirement for</w:t>
      </w:r>
      <w:r>
        <w:t xml:space="preserve"> </w:t>
      </w:r>
      <w:r>
        <w:t xml:space="preserve">‘Measurement Uncertainty’</w:t>
      </w:r>
      <w:r>
        <w:t xml:space="preserve">.</w:t>
      </w:r>
    </w:p>
    <w:p>
      <w:pPr>
        <w:pStyle w:val="Compact"/>
        <w:numPr>
          <w:ilvl w:val="0"/>
          <w:numId w:val="1001"/>
        </w:numPr>
      </w:pPr>
      <w:r>
        <w:t xml:space="preserve">Renamed</w:t>
      </w:r>
      <w:r>
        <w:t xml:space="preserve"> </w:t>
      </w:r>
      <w:r>
        <w:t xml:space="preserve">‘Measurement’</w:t>
      </w:r>
      <w:r>
        <w:t xml:space="preserve"> </w:t>
      </w:r>
      <w:r>
        <w:t xml:space="preserve">to</w:t>
      </w:r>
      <w:r>
        <w:t xml:space="preserve"> </w:t>
      </w:r>
      <w:r>
        <w:t xml:space="preserve">‘Measurand’</w:t>
      </w:r>
    </w:p>
    <w:p>
      <w:pPr>
        <w:pStyle w:val="Compact"/>
        <w:numPr>
          <w:ilvl w:val="0"/>
          <w:numId w:val="1001"/>
        </w:numPr>
      </w:pPr>
      <w:r>
        <w:t xml:space="preserve">Removed threshold requirement for</w:t>
      </w:r>
      <w:r>
        <w:t xml:space="preserve"> </w:t>
      </w:r>
      <w:r>
        <w:t xml:space="preserve">‘Algorithms’</w:t>
      </w:r>
      <w:r>
        <w:t xml:space="preserve">.</w:t>
      </w:r>
    </w:p>
    <w:p>
      <w:pPr>
        <w:pStyle w:val="Compact"/>
        <w:numPr>
          <w:ilvl w:val="0"/>
          <w:numId w:val="1001"/>
        </w:numPr>
      </w:pPr>
      <w:r>
        <w:t xml:space="preserve">Introduced Per-pixel Goal requirement for</w:t>
      </w:r>
      <w:r>
        <w:t xml:space="preserve"> </w:t>
      </w:r>
      <w:r>
        <w:t xml:space="preserve">‘Terrain Occlusion’</w:t>
      </w:r>
      <w:r>
        <w:t xml:space="preserve">.</w:t>
      </w:r>
    </w:p>
    <w:p>
      <w:pPr>
        <w:pStyle w:val="Compact"/>
        <w:numPr>
          <w:ilvl w:val="0"/>
          <w:numId w:val="1001"/>
        </w:numPr>
      </w:pPr>
      <w:r>
        <w:t xml:space="preserve">Replaced</w:t>
      </w:r>
      <w:r>
        <w:t xml:space="preserve"> </w:t>
      </w:r>
      <w:r>
        <w:t xml:space="preserve">‘Snow/Ice’</w:t>
      </w:r>
      <w:r>
        <w:t xml:space="preserve"> </w:t>
      </w:r>
      <w:r>
        <w:t xml:space="preserve">mask with</w:t>
      </w:r>
      <w:r>
        <w:t xml:space="preserve"> </w:t>
      </w:r>
      <w:r>
        <w:t xml:space="preserve">‘Surface’</w:t>
      </w:r>
      <w:r>
        <w:t xml:space="preserve">, covering Land/Water at Threshold and Snow/Ice at Goal.</w:t>
      </w:r>
    </w:p>
    <w:p>
      <w:pPr>
        <w:pStyle w:val="Compact"/>
        <w:numPr>
          <w:ilvl w:val="0"/>
          <w:numId w:val="1001"/>
        </w:numPr>
      </w:pPr>
      <w:r>
        <w:t xml:space="preserve">Updated</w:t>
      </w:r>
      <w:r>
        <w:t xml:space="preserve"> </w:t>
      </w:r>
      <w:r>
        <w:t xml:space="preserve">‘Cloud’</w:t>
      </w:r>
      <w:r>
        <w:t xml:space="preserve"> </w:t>
      </w:r>
      <w:r>
        <w:t xml:space="preserve">and</w:t>
      </w:r>
      <w:r>
        <w:t xml:space="preserve"> </w:t>
      </w:r>
      <w:r>
        <w:t xml:space="preserve">‘Cloud Shadow’</w:t>
      </w:r>
      <w:r>
        <w:t xml:space="preserve"> </w:t>
      </w:r>
      <w:r>
        <w:t xml:space="preserve">requirements to align more closely with the AR PFS v2.0 and the suitability of cloud shadow for non-reflectance methods.</w:t>
      </w:r>
    </w:p>
    <w:p>
      <w:pPr>
        <w:pStyle w:val="Compact"/>
        <w:numPr>
          <w:ilvl w:val="0"/>
          <w:numId w:val="1001"/>
        </w:numPr>
      </w:pPr>
      <w:r>
        <w:t xml:space="preserve">Updated</w:t>
      </w:r>
      <w:r>
        <w:t xml:space="preserve"> </w:t>
      </w:r>
      <w:r>
        <w:t xml:space="preserve">‘No Data’</w:t>
      </w:r>
      <w:r>
        <w:t xml:space="preserve"> </w:t>
      </w:r>
      <w:r>
        <w:t xml:space="preserve">requirement to address https://github.com/ceos-org/ceos-ard/issues/4.</w:t>
      </w:r>
    </w:p>
    <w:p>
      <w:pPr>
        <w:pStyle w:val="Compact"/>
        <w:numPr>
          <w:ilvl w:val="0"/>
          <w:numId w:val="1001"/>
        </w:numPr>
      </w:pPr>
      <w:r>
        <w:t xml:space="preserve">Updated</w:t>
      </w:r>
      <w:r>
        <w:t xml:space="preserve"> </w:t>
      </w:r>
      <w:r>
        <w:t xml:space="preserve">‘Incomplete Testing’</w:t>
      </w:r>
      <w:r>
        <w:t xml:space="preserve"> </w:t>
      </w:r>
      <w:r>
        <w:t xml:space="preserve">requirement to aid machine readability / automated assessment.</w:t>
      </w:r>
    </w:p>
    <w:p>
      <w:pPr>
        <w:pStyle w:val="Compact"/>
        <w:numPr>
          <w:ilvl w:val="0"/>
          <w:numId w:val="1001"/>
        </w:numPr>
      </w:pPr>
      <w:r>
        <w:t xml:space="preserve">Removed redundant</w:t>
      </w:r>
      <w:r>
        <w:t xml:space="preserve"> </w:t>
      </w:r>
      <w:r>
        <w:t xml:space="preserve">‘Metadata Machine Readability’</w:t>
      </w:r>
      <w:r>
        <w:t xml:space="preserve"> </w:t>
      </w:r>
      <w:r>
        <w:t xml:space="preserve">requirement from Per-pixel Metadata.</w:t>
      </w:r>
    </w:p>
    <w:p>
      <w:pPr>
        <w:pStyle w:val="Compact"/>
        <w:numPr>
          <w:ilvl w:val="0"/>
          <w:numId w:val="1001"/>
        </w:numPr>
      </w:pPr>
      <w:r>
        <w:t xml:space="preserve">Replaced General Metadata Percentage of Valid Observations requirement with Valid Pixels</w:t>
      </w:r>
    </w:p>
    <w:p>
      <w:pPr>
        <w:pStyle w:val="Compact"/>
        <w:numPr>
          <w:ilvl w:val="0"/>
          <w:numId w:val="1001"/>
        </w:numPr>
      </w:pPr>
      <w:r>
        <w:t xml:space="preserve">Introduced a new Processing Chain Provenance requirement, where Threshold = Reconstructibility, Goal = Reproducibility.</w:t>
      </w:r>
    </w:p>
    <w:p>
      <w:pPr>
        <w:pStyle w:val="Compact"/>
        <w:numPr>
          <w:ilvl w:val="0"/>
          <w:numId w:val="1001"/>
        </w:numPr>
      </w:pPr>
      <w:r>
        <w:t xml:space="preserve">Removed</w:t>
      </w:r>
      <w:r>
        <w:t xml:space="preserve"> </w:t>
      </w:r>
      <w:r>
        <w:t xml:space="preserve">‘Radiometric Accuracy’</w:t>
      </w:r>
      <w:r>
        <w:t xml:space="preserve"> </w:t>
      </w:r>
      <w:r>
        <w:t xml:space="preserve">requirement.</w:t>
      </w:r>
    </w:p>
    <w:p>
      <w:pPr>
        <w:pStyle w:val="Compact"/>
        <w:numPr>
          <w:ilvl w:val="0"/>
          <w:numId w:val="1001"/>
        </w:numPr>
      </w:pPr>
      <w:r>
        <w:t xml:space="preserve">Adopted AR PFS v2.0 requirements for</w:t>
      </w:r>
      <w:r>
        <w:t xml:space="preserve"> </w:t>
      </w:r>
      <w:r>
        <w:t xml:space="preserve">‘Auxiliary Data’</w:t>
      </w:r>
      <w:r>
        <w:t xml:space="preserve">,</w:t>
      </w:r>
      <w:r>
        <w:t xml:space="preserve"> </w:t>
      </w:r>
      <w:r>
        <w:t xml:space="preserve">‘Measurand Uncertainty’</w:t>
      </w:r>
      <w:r>
        <w:t xml:space="preserve">,</w:t>
      </w:r>
      <w:r>
        <w:t xml:space="preserve"> </w:t>
      </w:r>
      <w:r>
        <w:t xml:space="preserve">‘Encoding’</w:t>
      </w:r>
      <w:r>
        <w:t xml:space="preserve">,</w:t>
      </w:r>
      <w:r>
        <w:t xml:space="preserve"> </w:t>
      </w:r>
      <w:r>
        <w:t xml:space="preserve">‘Sensor Calibration’</w:t>
      </w:r>
      <w:r>
        <w:t xml:space="preserve">,</w:t>
      </w:r>
      <w:r>
        <w:t xml:space="preserve"> </w:t>
      </w:r>
      <w:r>
        <w:t xml:space="preserve">‘Spectral Bands’</w:t>
      </w:r>
      <w:r>
        <w:t xml:space="preserve">,</w:t>
      </w:r>
      <w:r>
        <w:t xml:space="preserve"> </w:t>
      </w:r>
      <w:r>
        <w:t xml:space="preserve">‘Instrument’</w:t>
      </w:r>
      <w:r>
        <w:t xml:space="preserve">,</w:t>
      </w:r>
      <w:r>
        <w:t xml:space="preserve"> </w:t>
      </w:r>
      <w:r>
        <w:t xml:space="preserve">‘Geometric Uncertainty of the Data’</w:t>
      </w:r>
      <w:r>
        <w:t xml:space="preserve">,</w:t>
      </w:r>
      <w:r>
        <w:t xml:space="preserve"> </w:t>
      </w:r>
      <w:r>
        <w:t xml:space="preserve">‘Geometric Correction Methods’</w:t>
      </w:r>
      <w:r>
        <w:t xml:space="preserve">,</w:t>
      </w:r>
      <w:r>
        <w:t xml:space="preserve"> </w:t>
      </w:r>
      <w:r>
        <w:t xml:space="preserve">‘Map Projection’</w:t>
      </w:r>
      <w:r>
        <w:t xml:space="preserve">, and</w:t>
      </w:r>
      <w:r>
        <w:t xml:space="preserve"> </w:t>
      </w:r>
      <w:r>
        <w:t xml:space="preserve">‘Data Collection Time’</w:t>
      </w:r>
      <w:r>
        <w:t xml:space="preserve">.</w:t>
      </w:r>
    </w:p>
    <w:p>
      <w:pPr>
        <w:pStyle w:val="Compact"/>
        <w:numPr>
          <w:ilvl w:val="0"/>
          <w:numId w:val="1001"/>
        </w:numPr>
      </w:pPr>
      <w:r>
        <w:t xml:space="preserve">Aligned with other optical PFS where the ST PFS had minor editorial differences.</w:t>
      </w:r>
    </w:p>
    <w:p>
      <w:pPr>
        <w:pStyle w:val="FirstParagraph"/>
      </w:pPr>
      <w:r>
        <w:rPr>
          <w:b/>
          <w:bCs/>
        </w:rPr>
        <w:t xml:space="preserve">Justification:</w:t>
      </w:r>
      <w:r>
        <w:t xml:space="preserve"> </w:t>
      </w:r>
      <w:r>
        <w:t xml:space="preserve">Update to address evolving landscape of thermal missions, including capabilities of the commercial sector and user needs. Closer alignment with more recently updated PFS. Changes also reflect recent CEOS-ARD Oversight Group discussions, swapping strict threshold requirements for algorithms in favour of uncertainty information.</w:t>
      </w:r>
    </w:p>
    <w:p>
      <w:pPr>
        <w:pStyle w:val="Textkrper"/>
      </w:pPr>
      <w:r>
        <w:rPr>
          <w:b/>
          <w:bCs/>
        </w:rPr>
        <w:t xml:space="preserve">Editor:</w:t>
      </w:r>
      <w:r>
        <w:t xml:space="preserve"> </w:t>
      </w:r>
      <w:r>
        <w:t xml:space="preserve">Harvey Jones</w:t>
      </w:r>
    </w:p>
    <w:bookmarkEnd w:id="30"/>
    <w:bookmarkStart w:id="31" w:name="patch"/>
    <w:p>
      <w:pPr>
        <w:pStyle w:val="berschrift3"/>
      </w:pPr>
      <w:r>
        <w:t xml:space="preserve">2026-03-26 (PATCH)</w:t>
      </w:r>
    </w:p>
    <w:p>
      <w:pPr>
        <w:pStyle w:val="Compact"/>
        <w:numPr>
          <w:ilvl w:val="0"/>
          <w:numId w:val="1002"/>
        </w:numPr>
      </w:pPr>
      <w:r>
        <w:t xml:space="preserve">Renamed CARD4L to CEOS-ARD</w:t>
      </w:r>
    </w:p>
    <w:p>
      <w:pPr>
        <w:pStyle w:val="Compact"/>
        <w:numPr>
          <w:ilvl w:val="0"/>
          <w:numId w:val="1002"/>
        </w:numPr>
      </w:pPr>
      <w:r>
        <w:t xml:space="preserve">Restructured the document; removed empty or unused parts</w:t>
      </w:r>
    </w:p>
    <w:p>
      <w:pPr>
        <w:pStyle w:val="Compact"/>
        <w:numPr>
          <w:ilvl w:val="0"/>
          <w:numId w:val="1002"/>
        </w:numPr>
      </w:pPr>
      <w:r>
        <w:t xml:space="preserve">Split</w:t>
      </w:r>
      <w:r>
        <w:t xml:space="preserve"> </w:t>
      </w:r>
      <w:r>
        <w:t xml:space="preserve">“Applies to”</w:t>
      </w:r>
      <w:r>
        <w:t xml:space="preserve"> </w:t>
      </w:r>
      <w:r>
        <w:t xml:space="preserve">section into</w:t>
      </w:r>
      <w:r>
        <w:t xml:space="preserve"> </w:t>
      </w:r>
      <w:r>
        <w:t xml:space="preserve">“Applies to”</w:t>
      </w:r>
      <w:r>
        <w:t xml:space="preserve"> </w:t>
      </w:r>
      <w:r>
        <w:t xml:space="preserve">and</w:t>
      </w:r>
      <w:r>
        <w:t xml:space="preserve"> </w:t>
      </w:r>
      <w:r>
        <w:t xml:space="preserve">“Background”</w:t>
      </w:r>
      <w:r>
        <w:t xml:space="preserve"> </w:t>
      </w:r>
      <w:r>
        <w:t xml:space="preserve">sections</w:t>
      </w:r>
    </w:p>
    <w:p>
      <w:pPr>
        <w:pStyle w:val="Compact"/>
        <w:numPr>
          <w:ilvl w:val="0"/>
          <w:numId w:val="1002"/>
        </w:numPr>
      </w:pPr>
      <w:r>
        <w:t xml:space="preserve">Document history has been reset. Check the previous versions for details</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2"/>
        </w:numPr>
      </w:pPr>
      <w:r>
        <w:t xml:space="preserve">If no threshold requirement applies, the wording has been made consistent (e.g. former req. 1.7 and 1.8).</w:t>
      </w:r>
    </w:p>
    <w:p>
      <w:pPr>
        <w:pStyle w:val="Compact"/>
        <w:numPr>
          <w:ilvl w:val="0"/>
          <w:numId w:val="1002"/>
        </w:numPr>
      </w:pPr>
      <w:r>
        <w:t xml:space="preserve">Former req. 1.9: Removed</w:t>
      </w:r>
      <w:r>
        <w:t xml:space="preserve"> </w:t>
      </w:r>
      <w:r>
        <w:t xml:space="preserve">“on instrument”</w:t>
      </w:r>
      <w:r>
        <w:t xml:space="preserve"> </w:t>
      </w:r>
      <w:r>
        <w:t xml:space="preserve">from</w:t>
      </w:r>
      <w:r>
        <w:t xml:space="preserve"> </w:t>
      </w:r>
      <w:r>
        <w:t xml:space="preserve">“As threshold, but information on instrument should be available”</w:t>
      </w:r>
      <w:r>
        <w:t xml:space="preserve">.</w:t>
      </w:r>
    </w:p>
    <w:p>
      <w:pPr>
        <w:pStyle w:val="Compact"/>
        <w:numPr>
          <w:ilvl w:val="0"/>
          <w:numId w:val="1002"/>
        </w:numPr>
      </w:pPr>
      <w:r>
        <w:t xml:space="preserve">Former req. 2.3: Replaced the wording</w:t>
      </w:r>
      <w:r>
        <w:t xml:space="preserve"> </w:t>
      </w:r>
      <w:r>
        <w:t xml:space="preserve">“e.g., due to missing ancillary data for some pixels.”</w:t>
      </w:r>
      <w:r>
        <w:t xml:space="preserve"> </w:t>
      </w:r>
      <w:r>
        <w:t xml:space="preserve">with</w:t>
      </w:r>
      <w:r>
        <w:t xml:space="preserve"> </w:t>
      </w:r>
      <w:r>
        <w:t xml:space="preserve">“This may be the result of missing ancillary data for a subset of the pixels.”</w:t>
      </w:r>
    </w:p>
    <w:p>
      <w:pPr>
        <w:pStyle w:val="Compact"/>
        <w:numPr>
          <w:ilvl w:val="0"/>
          <w:numId w:val="1002"/>
        </w:numPr>
      </w:pPr>
      <w:r>
        <w:t xml:space="preserve">Annex has been reformatted and updated</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3"/>
        </w:numPr>
      </w:pPr>
      <w:r>
        <w:t xml:space="preserve">Mathias Gergely (Aistech Space)</w:t>
      </w:r>
    </w:p>
    <w:p>
      <w:pPr>
        <w:pStyle w:val="Compact"/>
        <w:numPr>
          <w:ilvl w:val="0"/>
          <w:numId w:val="1003"/>
        </w:numPr>
      </w:pPr>
      <w:r>
        <w:t xml:space="preserve">Harvey Jones (CEOS-ARD Secretariat)</w:t>
      </w:r>
    </w:p>
    <w:p>
      <w:pPr>
        <w:pStyle w:val="Compact"/>
        <w:numPr>
          <w:ilvl w:val="0"/>
          <w:numId w:val="1003"/>
        </w:numPr>
      </w:pPr>
      <w:r>
        <w:t xml:space="preserve">Emilie Delogu (CNES)</w:t>
      </w:r>
    </w:p>
    <w:p>
      <w:pPr>
        <w:pStyle w:val="Compact"/>
        <w:numPr>
          <w:ilvl w:val="0"/>
          <w:numId w:val="1003"/>
        </w:numPr>
      </w:pPr>
      <w:r>
        <w:t xml:space="preserve">Andreas Brunn (Constellr)</w:t>
      </w:r>
    </w:p>
    <w:p>
      <w:pPr>
        <w:pStyle w:val="Compact"/>
        <w:numPr>
          <w:ilvl w:val="0"/>
          <w:numId w:val="1003"/>
        </w:numPr>
      </w:pPr>
      <w:r>
        <w:t xml:space="preserve">Andreas Dietz (DLR)</w:t>
      </w:r>
    </w:p>
    <w:p>
      <w:pPr>
        <w:pStyle w:val="Compact"/>
        <w:numPr>
          <w:ilvl w:val="0"/>
          <w:numId w:val="1003"/>
        </w:numPr>
      </w:pPr>
      <w:r>
        <w:t xml:space="preserve">Philipp Reiners (DLR)</w:t>
      </w:r>
    </w:p>
    <w:p>
      <w:pPr>
        <w:pStyle w:val="Compact"/>
        <w:numPr>
          <w:ilvl w:val="0"/>
          <w:numId w:val="1003"/>
        </w:numPr>
      </w:pPr>
      <w:r>
        <w:t xml:space="preserve">Fraser Parlane (EarthDaily)</w:t>
      </w:r>
    </w:p>
    <w:p>
      <w:pPr>
        <w:pStyle w:val="Compact"/>
        <w:numPr>
          <w:ilvl w:val="0"/>
          <w:numId w:val="1003"/>
        </w:numPr>
      </w:pPr>
      <w:r>
        <w:t xml:space="preserve">Peter Strobl (EC)</w:t>
      </w:r>
    </w:p>
    <w:p>
      <w:pPr>
        <w:pStyle w:val="Compact"/>
        <w:numPr>
          <w:ilvl w:val="0"/>
          <w:numId w:val="1003"/>
        </w:numPr>
      </w:pPr>
      <w:r>
        <w:t xml:space="preserve">Silvia Scifoni (ESA/Serco)</w:t>
      </w:r>
    </w:p>
    <w:p>
      <w:pPr>
        <w:pStyle w:val="Compact"/>
        <w:numPr>
          <w:ilvl w:val="0"/>
          <w:numId w:val="1003"/>
        </w:numPr>
      </w:pPr>
      <w:r>
        <w:t xml:space="preserve">Adam Lewis (Geoscience Australia)</w:t>
      </w:r>
    </w:p>
    <w:p>
      <w:pPr>
        <w:pStyle w:val="Compact"/>
        <w:numPr>
          <w:ilvl w:val="0"/>
          <w:numId w:val="1003"/>
        </w:numPr>
      </w:pPr>
      <w:r>
        <w:t xml:space="preserve">Jonathon Ross (Geoscience Australia)</w:t>
      </w:r>
    </w:p>
    <w:p>
      <w:pPr>
        <w:pStyle w:val="Compact"/>
        <w:numPr>
          <w:ilvl w:val="0"/>
          <w:numId w:val="1003"/>
        </w:numPr>
      </w:pPr>
      <w:r>
        <w:t xml:space="preserve">Andreia Siqueira (Geoscience Australia)</w:t>
      </w:r>
    </w:p>
    <w:p>
      <w:pPr>
        <w:pStyle w:val="Compact"/>
        <w:numPr>
          <w:ilvl w:val="0"/>
          <w:numId w:val="1003"/>
        </w:numPr>
      </w:pPr>
      <w:r>
        <w:t xml:space="preserve">Siri Jodha Khalsa (IEEE)</w:t>
      </w:r>
    </w:p>
    <w:p>
      <w:pPr>
        <w:pStyle w:val="Compact"/>
        <w:numPr>
          <w:ilvl w:val="0"/>
          <w:numId w:val="1003"/>
        </w:numPr>
      </w:pPr>
      <w:r>
        <w:t xml:space="preserve">Jean-Francois Piolle (IFREMER)</w:t>
      </w:r>
    </w:p>
    <w:p>
      <w:pPr>
        <w:pStyle w:val="Compact"/>
        <w:numPr>
          <w:ilvl w:val="0"/>
          <w:numId w:val="1003"/>
        </w:numPr>
      </w:pPr>
      <w:r>
        <w:t xml:space="preserve">Misako Kachi (JAXA)</w:t>
      </w:r>
    </w:p>
    <w:p>
      <w:pPr>
        <w:pStyle w:val="Compact"/>
        <w:numPr>
          <w:ilvl w:val="0"/>
          <w:numId w:val="1003"/>
        </w:numPr>
      </w:pPr>
      <w:r>
        <w:t xml:space="preserve">Matthias Mohr (MoreGeo)</w:t>
      </w:r>
    </w:p>
    <w:p>
      <w:pPr>
        <w:pStyle w:val="Compact"/>
        <w:numPr>
          <w:ilvl w:val="0"/>
          <w:numId w:val="1003"/>
        </w:numPr>
      </w:pPr>
      <w:r>
        <w:t xml:space="preserve">Edward M. Armstrong (NASA/JPL/CalTech)</w:t>
      </w:r>
    </w:p>
    <w:p>
      <w:pPr>
        <w:pStyle w:val="Compact"/>
        <w:numPr>
          <w:ilvl w:val="0"/>
          <w:numId w:val="1003"/>
        </w:numPr>
      </w:pPr>
      <w:r>
        <w:t xml:space="preserve">Mark de Jong (NRCan)</w:t>
      </w:r>
    </w:p>
    <w:p>
      <w:pPr>
        <w:pStyle w:val="Compact"/>
        <w:numPr>
          <w:ilvl w:val="0"/>
          <w:numId w:val="1003"/>
        </w:numPr>
      </w:pPr>
      <w:r>
        <w:t xml:space="preserve">Anastasia Sarelli (OroraTech)</w:t>
      </w:r>
    </w:p>
    <w:p>
      <w:pPr>
        <w:pStyle w:val="Compact"/>
        <w:numPr>
          <w:ilvl w:val="0"/>
          <w:numId w:val="1003"/>
        </w:numPr>
      </w:pPr>
      <w:r>
        <w:t xml:space="preserve">Josephine Wong (OroraTech)</w:t>
      </w:r>
    </w:p>
    <w:p>
      <w:pPr>
        <w:pStyle w:val="Compact"/>
        <w:numPr>
          <w:ilvl w:val="0"/>
          <w:numId w:val="1003"/>
        </w:numPr>
      </w:pPr>
      <w:r>
        <w:t xml:space="preserve">Daniel Evans (SatVu)</w:t>
      </w:r>
    </w:p>
    <w:p>
      <w:pPr>
        <w:pStyle w:val="Compact"/>
        <w:numPr>
          <w:ilvl w:val="0"/>
          <w:numId w:val="1003"/>
        </w:numPr>
      </w:pPr>
      <w:r>
        <w:t xml:space="preserve">Jamie McMillan (SatVu)</w:t>
      </w:r>
    </w:p>
    <w:p>
      <w:pPr>
        <w:pStyle w:val="Compact"/>
        <w:numPr>
          <w:ilvl w:val="0"/>
          <w:numId w:val="1003"/>
        </w:numPr>
      </w:pPr>
      <w:r>
        <w:t xml:space="preserve">Darren Ghent (University of Leicester)</w:t>
      </w:r>
    </w:p>
    <w:p>
      <w:pPr>
        <w:pStyle w:val="Compact"/>
        <w:numPr>
          <w:ilvl w:val="0"/>
          <w:numId w:val="1003"/>
        </w:numPr>
      </w:pPr>
      <w:r>
        <w:t xml:space="preserve">Chase Mueller (USGS)</w:t>
      </w:r>
    </w:p>
    <w:p>
      <w:pPr>
        <w:pStyle w:val="Compact"/>
        <w:numPr>
          <w:ilvl w:val="0"/>
          <w:numId w:val="1003"/>
        </w:numPr>
      </w:pPr>
      <w:r>
        <w:t xml:space="preserve">Chris Barnes (USGS)</w:t>
      </w:r>
    </w:p>
    <w:p>
      <w:pPr>
        <w:pStyle w:val="Compact"/>
        <w:numPr>
          <w:ilvl w:val="0"/>
          <w:numId w:val="1003"/>
        </w:numPr>
      </w:pPr>
      <w:r>
        <w:t xml:space="preserve">Darcie Bontje (USGS)</w:t>
      </w:r>
    </w:p>
    <w:p>
      <w:pPr>
        <w:pStyle w:val="Compact"/>
        <w:numPr>
          <w:ilvl w:val="0"/>
          <w:numId w:val="1003"/>
        </w:numPr>
      </w:pPr>
      <w:r>
        <w:t xml:space="preserve">Mary Metzger (USGS)</w:t>
      </w:r>
    </w:p>
    <w:p>
      <w:pPr>
        <w:pStyle w:val="Compact"/>
        <w:numPr>
          <w:ilvl w:val="0"/>
          <w:numId w:val="1003"/>
        </w:numPr>
      </w:pPr>
      <w:r>
        <w:t xml:space="preserve">Steve Labahn (USGS)</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Optical, Surface Temperature (ST)</w:t>
      </w:r>
    </w:p>
    <w:p>
      <w:pPr>
        <w:pStyle w:val="Textkrper"/>
      </w:pPr>
      <w:r>
        <w:rPr>
          <w:b/>
          <w:bCs/>
        </w:rPr>
        <w:t xml:space="preserve">Version:</w:t>
      </w:r>
      <w:r>
        <w:t xml:space="preserve"> </w:t>
      </w:r>
      <w:r>
        <w:t xml:space="preserve">6.0.0-draft</w:t>
      </w:r>
    </w:p>
    <w:p>
      <w:pPr>
        <w:pStyle w:val="Textkrper"/>
      </w:pPr>
      <w:r>
        <w:rPr>
          <w:b/>
          <w:bCs/>
        </w:rPr>
        <w:t xml:space="preserve">Applies to:</w:t>
      </w:r>
      <w:r>
        <w:t xml:space="preserve"> </w:t>
      </w:r>
      <w:r>
        <w:t xml:space="preserve">Data collected with satellite sensors operating in the thermal infrared (TIR and MWIR) and microwave wavelengths. These typically operate with ground sample distance and resolution in the order 1 dm - 50 km however the specification is not inherently limited to these resolutions.</w:t>
      </w:r>
    </w:p>
    <w:bookmarkEnd w:id="35"/>
    <w:bookmarkStart w:id="36" w:name="background"/>
    <w:p>
      <w:pPr>
        <w:pStyle w:val="berschrift2"/>
      </w:pPr>
      <w:r>
        <w:t xml:space="preserve">Background</w:t>
      </w:r>
    </w:p>
    <w:p>
      <w:pPr>
        <w:pStyle w:val="FirstParagraph"/>
      </w:pPr>
      <w:r>
        <w:t xml:space="preserve">Remotely sensed surface temperature measurements tend to be provided as surface brightness temperature (SBT), land surface temperature (LST), water surface temperature (WST), or ice surface temperature (IST), where LST, WST, and IST are derived from SBT accounting for the emissivity of the target. This specification identifies Surface Temperature (ST), including but not limited to LST, WST, and IST, as the minimum or threshold requirement for analysis ready surface data.</w:t>
      </w:r>
    </w:p>
    <w:p>
      <w:r>
        <w:br w:type="page"/>
      </w:r>
    </w:p>
    <w:bookmarkEnd w:id="36"/>
    <w:bookmarkStart w:id="37" w:name="definitions-and-abbreviations"/>
    <w:p>
      <w:pPr>
        <w:pStyle w:val="berschrift2"/>
      </w:pPr>
      <w:r>
        <w:t xml:space="preserve">Definitions and Abbreviations</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LST</w:t>
      </w:r>
    </w:p>
    <w:p>
      <w:pPr>
        <w:pStyle w:val="Definition"/>
      </w:pPr>
      <w:r>
        <w:t xml:space="preserve">Land Surface Temperature</w:t>
      </w:r>
    </w:p>
    <w:p>
      <w:pPr>
        <w:pStyle w:val="DefinitionTerm"/>
      </w:pPr>
      <w:r>
        <w:t xml:space="preserve">rRMSE</w:t>
      </w:r>
    </w:p>
    <w:p>
      <w:pPr>
        <w:pStyle w:val="Definition"/>
      </w:pPr>
      <w:r>
        <w:t xml:space="preserve">Radial Root Mean Square Error</w:t>
      </w:r>
    </w:p>
    <w:p>
      <w:pPr>
        <w:pStyle w:val="DefinitionTerm"/>
      </w:pPr>
      <w:r>
        <w:t xml:space="preserve">SBT</w:t>
      </w:r>
    </w:p>
    <w:p>
      <w:pPr>
        <w:pStyle w:val="Definition"/>
      </w:pPr>
      <w:r>
        <w:t xml:space="preserve">Surface Brightness Temperature</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ST</w:t>
      </w:r>
    </w:p>
    <w:p>
      <w:pPr>
        <w:pStyle w:val="Definition"/>
      </w:pPr>
      <w:r>
        <w:t xml:space="preserve">Surface Temperature</w:t>
      </w:r>
    </w:p>
    <w:p>
      <w:pPr>
        <w:pStyle w:val="DefinitionTerm"/>
      </w:pPr>
      <w:r>
        <w:t xml:space="preserve">TIR</w:t>
      </w:r>
    </w:p>
    <w:p>
      <w:pPr>
        <w:pStyle w:val="Definition"/>
      </w:pPr>
      <w:r>
        <w:t xml:space="preserve">Thermal Infrared</w:t>
      </w:r>
    </w:p>
    <w:p>
      <w:pPr>
        <w:pStyle w:val="DefinitionTerm"/>
      </w:pPr>
      <w:r>
        <w:t xml:space="preserve">UTC</w:t>
      </w:r>
    </w:p>
    <w:p>
      <w:pPr>
        <w:pStyle w:val="Definition"/>
      </w:pPr>
      <w:r>
        <w:t xml:space="preserve">Coordinated Universal Time</w:t>
      </w:r>
    </w:p>
    <w:p>
      <w:pPr>
        <w:pStyle w:val="DefinitionTerm"/>
      </w:pPr>
      <w:r>
        <w:t xml:space="preserve">WGS84</w:t>
      </w:r>
    </w:p>
    <w:p>
      <w:pPr>
        <w:pStyle w:val="Definition"/>
      </w:pPr>
      <w:r>
        <w:t xml:space="preserve">World Geodetic System 1984</w:t>
      </w:r>
    </w:p>
    <w:p>
      <w:r>
        <w:br w:type="page"/>
      </w:r>
    </w:p>
    <w:bookmarkEnd w:id="37"/>
    <w:bookmarkStart w:id="171"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8"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8"/>
    <w:bookmarkStart w:id="39" w:name="goal-requirements"/>
    <w:p>
      <w:pPr>
        <w:pStyle w:val="berschrift5"/>
      </w:pPr>
      <w:r>
        <w:t xml:space="preserve">Goal requirements:</w:t>
      </w:r>
    </w:p>
    <w:p>
      <w:pPr>
        <w:pStyle w:val="FirstParagraph"/>
      </w:pPr>
      <w:r>
        <w:t xml:space="preserve">As threshold.</w:t>
      </w:r>
      <w:r>
        <w:t xml:space="preserve"> </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trace-st"/>
    <w:p>
      <w:pPr>
        <w:pStyle w:val="berschrift4"/>
      </w:pPr>
      <w:r>
        <w:rPr>
          <w:rStyle w:val="VerbatimChar"/>
        </w:rPr>
        <w:t xml:space="preserve">1.2.</w:t>
      </w:r>
      <w:r>
        <w:t xml:space="preserve"> </w:t>
      </w:r>
      <w:r>
        <w:t xml:space="preserve">Metrological Traceability of the Measurand to SI</w:t>
      </w:r>
    </w:p>
    <w:p>
      <w:pPr>
        <w:pStyle w:val="FirstParagraph"/>
      </w:pPr>
      <w:r>
        <w:t xml:space="preserve">Identifier:</w:t>
      </w:r>
      <w:r>
        <w:t xml:space="preserve"> </w:t>
      </w:r>
      <w:r>
        <w:rPr>
          <w:rStyle w:val="VerbatimChar"/>
        </w:rPr>
        <w:t xml:space="preserve">meta-trace-st</w:t>
      </w:r>
    </w:p>
    <w:bookmarkStart w:id="42" w:name="threshold-requirements-1"/>
    <w:p>
      <w:pPr>
        <w:pStyle w:val="berschrift5"/>
      </w:pPr>
      <w:r>
        <w:t xml:space="preserve">Threshold requirements:</w:t>
      </w:r>
    </w:p>
    <w:p>
      <w:pPr>
        <w:pStyle w:val="FirstParagraph"/>
      </w:pPr>
      <w:r>
        <w:t xml:space="preserve">Not required.</w:t>
      </w:r>
      <w:r>
        <w:t xml:space="preserve"> </w:t>
      </w:r>
    </w:p>
    <w:bookmarkEnd w:id="42"/>
    <w:bookmarkStart w:id="43" w:name="goal-requirements-1"/>
    <w:p>
      <w:pPr>
        <w:pStyle w:val="berschrift5"/>
      </w:pPr>
      <w:r>
        <w:t xml:space="preserve">Goal requirements:</w:t>
      </w:r>
    </w:p>
    <w:p>
      <w:pPr>
        <w:pStyle w:val="FirstParagraph"/>
      </w:pPr>
      <w:r>
        <w:t xml:space="preserve">Data must be traceable to SI reference standard, documented by URL or DOI.</w:t>
      </w:r>
    </w:p>
    <w:p>
      <w:pPr>
        <w:pStyle w:val="Textkrper"/>
      </w:pPr>
      <w:r>
        <w:t xml:space="preserve">Note:</w:t>
      </w:r>
    </w:p>
    <w:p>
      <w:pPr>
        <w:pStyle w:val="Compact"/>
        <w:numPr>
          <w:ilvl w:val="0"/>
          <w:numId w:val="1005"/>
        </w:numPr>
      </w:pPr>
      <w:r>
        <w:t xml:space="preserve">SI Traceability requires an estimate of measurement uncertainty (see</w:t>
      </w:r>
      <w:r>
        <w:t xml:space="preserve"> </w:t>
      </w:r>
      <w:hyperlink w:anchor="sec:rac-muncer-st">
        <w:r>
          <w:rPr>
            <w:rStyle w:val="Hyperlink"/>
          </w:rPr>
          <w:t xml:space="preserve">Radiometric and Atmospheric Corrections: Measurand Uncertainty</w:t>
        </w:r>
      </w:hyperlink>
      <w:r>
        <w:t xml:space="preserve">).</w:t>
      </w:r>
    </w:p>
    <w:bookmarkEnd w:id="43"/>
    <w:bookmarkStart w:id="44"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4"/>
    <w:bookmarkEnd w:id="45"/>
    <w:bookmarkStart w:id="49" w:name="sec:meta-memare-st"/>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meta-memare-st</w:t>
      </w:r>
    </w:p>
    <w:bookmarkStart w:id="46"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6"/>
    <w:bookmarkStart w:id="47" w:name="goal-requirements-2"/>
    <w:p>
      <w:pPr>
        <w:pStyle w:val="berschrift5"/>
      </w:pPr>
      <w:r>
        <w:t xml:space="preserve">Goal requirements:</w:t>
      </w:r>
    </w:p>
    <w:p>
      <w:pPr>
        <w:pStyle w:val="FirstParagraph"/>
      </w:pPr>
      <w:r>
        <w:t xml:space="preserve">As threshold, but metadata is provided in a community endorsed standard that facilitates machine-readability, such as CEOS-ARD Metadata Specifications, ISO 19115-2, STAC, the Climate and Forecast (CF) convention, or the Attribute Convention for Data Discovery (ACDD).</w:t>
      </w:r>
    </w:p>
    <w:bookmarkEnd w:id="47"/>
    <w:bookmarkStart w:id="48"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8"/>
    <w:bookmarkEnd w:id="49"/>
    <w:bookmarkStart w:id="53" w:name="sec:meta-time-st"/>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meta-time-st</w:t>
      </w:r>
    </w:p>
    <w:bookmarkStart w:id="50"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p>
      <w:pPr>
        <w:pStyle w:val="Textkrper"/>
      </w:pPr>
      <w:r>
        <w:t xml:space="preserve">In the case of composite or mosaic products, the dates/times of the first and last data takes are provided with the product.</w:t>
      </w:r>
    </w:p>
    <w:bookmarkEnd w:id="50"/>
    <w:bookmarkStart w:id="51"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1"/>
    <w:bookmarkStart w:id="52"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2"/>
    <w:bookmarkEnd w:id="53"/>
    <w:bookmarkStart w:id="57"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4"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4"/>
    <w:bookmarkStart w:id="55"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5"/>
    <w:bookmarkStart w:id="56"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6"/>
    <w:bookmarkEnd w:id="57"/>
    <w:bookmarkStart w:id="61"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8" w:name="threshold-requirements-5"/>
    <w:p>
      <w:pPr>
        <w:pStyle w:val="berschrift5"/>
      </w:pPr>
      <w:r>
        <w:t xml:space="preserve">Threshold requirements:</w:t>
      </w:r>
    </w:p>
    <w:p>
      <w:pPr>
        <w:pStyle w:val="FirstParagraph"/>
      </w:pPr>
      <w:r>
        <w:t xml:space="preserve">The coordinate reference system that has been used is detailed.</w:t>
      </w:r>
    </w:p>
    <w:bookmarkEnd w:id="58"/>
    <w:bookmarkStart w:id="59" w:name="goal-requirements-5"/>
    <w:p>
      <w:pPr>
        <w:pStyle w:val="berschrift5"/>
      </w:pPr>
      <w:r>
        <w:t xml:space="preserve">Goal requirements:</w:t>
      </w:r>
    </w:p>
    <w:p>
      <w:pPr>
        <w:pStyle w:val="FirstParagraph"/>
      </w:pPr>
      <w:r>
        <w:t xml:space="preserve">As threshold.</w:t>
      </w:r>
      <w:r>
        <w:t xml:space="preserve"> </w:t>
      </w:r>
    </w:p>
    <w:bookmarkEnd w:id="59"/>
    <w:bookmarkStart w:id="60"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0"/>
    <w:bookmarkEnd w:id="61"/>
    <w:bookmarkStart w:id="65"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2"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2"/>
    <w:bookmarkStart w:id="63" w:name="goal-requirements-6"/>
    <w:p>
      <w:pPr>
        <w:pStyle w:val="berschrift5"/>
      </w:pPr>
      <w:r>
        <w:t xml:space="preserve">Goal requirements:</w:t>
      </w:r>
    </w:p>
    <w:p>
      <w:pPr>
        <w:pStyle w:val="FirstParagraph"/>
      </w:pPr>
      <w:r>
        <w:t xml:space="preserve">As threshold.</w:t>
      </w:r>
      <w:r>
        <w:t xml:space="preserve"> </w:t>
      </w:r>
    </w:p>
    <w:bookmarkEnd w:id="63"/>
    <w:bookmarkStart w:id="64"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4"/>
    <w:bookmarkEnd w:id="65"/>
    <w:bookmarkStart w:id="69" w:name="sec:meta-geocorm-st"/>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meta-geocorm-st</w:t>
      </w:r>
    </w:p>
    <w:bookmarkStart w:id="66" w:name="threshold-requirements-7"/>
    <w:p>
      <w:pPr>
        <w:pStyle w:val="berschrift5"/>
      </w:pPr>
      <w:r>
        <w:t xml:space="preserve">Threshold requirements:</w:t>
      </w:r>
    </w:p>
    <w:p>
      <w:pPr>
        <w:pStyle w:val="FirstParagraph"/>
      </w:pPr>
      <w:r>
        <w:t xml:space="preserve">Not required.</w:t>
      </w:r>
      <w:r>
        <w:t xml:space="preserve"> </w:t>
      </w:r>
    </w:p>
    <w:bookmarkEnd w:id="66"/>
    <w:bookmarkStart w:id="67"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 documented by URL or DOI.</w:t>
      </w:r>
    </w:p>
    <w:bookmarkEnd w:id="67"/>
    <w:bookmarkStart w:id="68"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8"/>
    <w:bookmarkEnd w:id="69"/>
    <w:bookmarkStart w:id="73" w:name="sec:meta-geounc-st"/>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meta-geounc-st</w:t>
      </w:r>
    </w:p>
    <w:bookmarkStart w:id="70" w:name="threshold-requirements-8"/>
    <w:p>
      <w:pPr>
        <w:pStyle w:val="berschrift5"/>
      </w:pPr>
      <w:r>
        <w:t xml:space="preserve">Threshold requirements:</w:t>
      </w:r>
    </w:p>
    <w:p>
      <w:pPr>
        <w:pStyle w:val="FirstParagraph"/>
      </w:pPr>
      <w:r>
        <w:t xml:space="preserve">Not required.</w:t>
      </w:r>
      <w:r>
        <w:t xml:space="preserve"> </w:t>
      </w:r>
    </w:p>
    <w:bookmarkEnd w:id="70"/>
    <w:bookmarkStart w:id="71"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 and documented by URL or DOI.</w:t>
      </w:r>
    </w:p>
    <w:bookmarkEnd w:id="71"/>
    <w:bookmarkStart w:id="72"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2"/>
    <w:bookmarkEnd w:id="73"/>
    <w:bookmarkStart w:id="78" w:name="sec:meta-instru-st"/>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meta-instru-st</w:t>
      </w:r>
    </w:p>
    <w:bookmarkStart w:id="74" w:name="threshold-requirements-9"/>
    <w:p>
      <w:pPr>
        <w:pStyle w:val="berschrift5"/>
      </w:pPr>
      <w:r>
        <w:t xml:space="preserve">Threshold requirements:</w:t>
      </w:r>
    </w:p>
    <w:p>
      <w:pPr>
        <w:pStyle w:val="FirstParagraph"/>
      </w:pPr>
      <w:r>
        <w:t xml:space="preserve">The instrument used to collect the data is identified.</w:t>
      </w:r>
    </w:p>
    <w:p>
      <w:pPr>
        <w:pStyle w:val="Compact"/>
        <w:numPr>
          <w:ilvl w:val="0"/>
          <w:numId w:val="1014"/>
        </w:numPr>
      </w:pPr>
      <w:r>
        <w:t xml:space="preserve">Satellite name</w:t>
      </w:r>
    </w:p>
    <w:p>
      <w:pPr>
        <w:pStyle w:val="Compact"/>
        <w:numPr>
          <w:ilvl w:val="0"/>
          <w:numId w:val="1014"/>
        </w:numPr>
      </w:pPr>
      <w:r>
        <w:t xml:space="preserve">Instrument name</w:t>
      </w:r>
    </w:p>
    <w:bookmarkEnd w:id="74"/>
    <w:bookmarkStart w:id="76" w:name="goal-requirements-9"/>
    <w:p>
      <w:pPr>
        <w:pStyle w:val="berschrift5"/>
      </w:pPr>
      <w:r>
        <w:t xml:space="preserve">Goal requirements:</w:t>
      </w:r>
    </w:p>
    <w:p>
      <w:pPr>
        <w:pStyle w:val="FirstParagraph"/>
      </w:pPr>
      <w:r>
        <w:t xml:space="preserve">As threshold, with references to the relevant</w:t>
      </w:r>
      <w:r>
        <w:t xml:space="preserve"> </w:t>
      </w:r>
      <w:r>
        <w:t xml:space="preserve">“CEOS Missions, Instruments and Measurements”</w:t>
      </w:r>
      <w:r>
        <w:t xml:space="preserve"> </w:t>
      </w:r>
      <w:r>
        <w:t xml:space="preserve">(MIM) database record (</w:t>
      </w:r>
      <w:hyperlink r:id="rId75">
        <w:r>
          <w:rPr>
            <w:rStyle w:val="Hyperlink"/>
          </w:rPr>
          <w:t xml:space="preserve">database.eohandbook.com</w:t>
        </w:r>
      </w:hyperlink>
      <w:r>
        <w:t xml:space="preserve">).</w:t>
      </w:r>
    </w:p>
    <w:bookmarkEnd w:id="76"/>
    <w:bookmarkStart w:id="77"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7"/>
    <w:bookmarkEnd w:id="78"/>
    <w:bookmarkStart w:id="82" w:name="sec:meta-specband-st"/>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meta-specband-st</w:t>
      </w:r>
    </w:p>
    <w:bookmarkStart w:id="79" w:name="threshold-requirements-10"/>
    <w:p>
      <w:pPr>
        <w:pStyle w:val="berschrift5"/>
      </w:pPr>
      <w:r>
        <w:t xml:space="preserve">Threshold requirements:</w:t>
      </w:r>
    </w:p>
    <w:p>
      <w:pPr>
        <w:pStyle w:val="FirstParagraph"/>
      </w:pPr>
      <w:r>
        <w:t xml:space="preserve">Spectral response function and method of assessment is provided.</w:t>
      </w:r>
    </w:p>
    <w:bookmarkEnd w:id="79"/>
    <w:bookmarkStart w:id="80" w:name="goal-requirements-10"/>
    <w:p>
      <w:pPr>
        <w:pStyle w:val="berschrift5"/>
      </w:pPr>
      <w:r>
        <w:t xml:space="preserve">Goal requirements:</w:t>
      </w:r>
    </w:p>
    <w:p>
      <w:pPr>
        <w:pStyle w:val="FirstParagraph"/>
      </w:pPr>
      <w:r>
        <w:t xml:space="preserve">As threshold, but information on spectral bands is documented by URL or DOI.</w:t>
      </w:r>
    </w:p>
    <w:bookmarkEnd w:id="80"/>
    <w:bookmarkStart w:id="81"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1"/>
    <w:bookmarkEnd w:id="82"/>
    <w:bookmarkStart w:id="86" w:name="sec:meta-sencal-st"/>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meta-sencal-st</w:t>
      </w:r>
    </w:p>
    <w:bookmarkStart w:id="83" w:name="threshold-requirements-11"/>
    <w:p>
      <w:pPr>
        <w:pStyle w:val="berschrift5"/>
      </w:pPr>
      <w:r>
        <w:t xml:space="preserve">Threshold requirements:</w:t>
      </w:r>
    </w:p>
    <w:p>
      <w:pPr>
        <w:pStyle w:val="FirstParagraph"/>
      </w:pPr>
      <w:r>
        <w:t xml:space="preserve">Binary description of calibrated/not calibrated only.</w:t>
      </w:r>
    </w:p>
    <w:bookmarkEnd w:id="83"/>
    <w:bookmarkStart w:id="84" w:name="goal-requirements-11"/>
    <w:p>
      <w:pPr>
        <w:pStyle w:val="berschrift5"/>
      </w:pPr>
      <w:r>
        <w:t xml:space="preserve">Goal requirements:</w:t>
      </w:r>
    </w:p>
    <w:p>
      <w:pPr>
        <w:pStyle w:val="FirstParagraph"/>
      </w:pPr>
      <w:r>
        <w:t xml:space="preserve">Sensor calibration parameters are identified or can be accessed using details included in the metadata, documented by URL or DOI.</w:t>
      </w:r>
    </w:p>
    <w:p>
      <w:pPr>
        <w:pStyle w:val="Textkrper"/>
      </w:pPr>
      <w:r>
        <w:t xml:space="preserve">Ideally this would support machine-to-machine access.</w:t>
      </w:r>
    </w:p>
    <w:bookmarkEnd w:id="84"/>
    <w:bookmarkStart w:id="85"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5"/>
    <w:bookmarkEnd w:id="86"/>
    <w:bookmarkStart w:id="90" w:name="sec:meta-measurunc"/>
    <w:p>
      <w:pPr>
        <w:pStyle w:val="berschrift4"/>
      </w:pPr>
      <w:r>
        <w:rPr>
          <w:rStyle w:val="VerbatimChar"/>
        </w:rPr>
        <w:t xml:space="preserve">1.13.</w:t>
      </w:r>
      <w:r>
        <w:t xml:space="preserve"> </w:t>
      </w:r>
      <w:r>
        <w:t xml:space="preserve">Measurand Uncertainty</w:t>
      </w:r>
    </w:p>
    <w:p>
      <w:pPr>
        <w:pStyle w:val="FirstParagraph"/>
      </w:pPr>
      <w:r>
        <w:t xml:space="preserve">Identifier:</w:t>
      </w:r>
      <w:r>
        <w:t xml:space="preserve"> </w:t>
      </w:r>
      <w:r>
        <w:rPr>
          <w:rStyle w:val="VerbatimChar"/>
        </w:rPr>
        <w:t xml:space="preserve">meta-measurunc</w:t>
      </w:r>
    </w:p>
    <w:bookmarkStart w:id="87" w:name="threshold-requirements-12"/>
    <w:p>
      <w:pPr>
        <w:pStyle w:val="berschrift5"/>
      </w:pPr>
      <w:r>
        <w:t xml:space="preserve">Threshold requirements:</w:t>
      </w:r>
    </w:p>
    <w:p>
      <w:pPr>
        <w:pStyle w:val="FirstParagraph"/>
      </w:pPr>
      <w:r>
        <w:t xml:space="preserve">Methods of determining the assessed measurand uncertainty of the version of the data are specified, documented by URL or DOI.</w:t>
      </w:r>
    </w:p>
    <w:bookmarkEnd w:id="87"/>
    <w:bookmarkStart w:id="88" w:name="goal-requirements-12"/>
    <w:p>
      <w:pPr>
        <w:pStyle w:val="berschrift5"/>
      </w:pPr>
      <w:r>
        <w:t xml:space="preserve">Goal requirements:</w:t>
      </w:r>
    </w:p>
    <w:p>
      <w:pPr>
        <w:pStyle w:val="FirstParagraph"/>
      </w:pPr>
      <w:r>
        <w:t xml:space="preserve">As threshold, but the absolute measurand uncertainty of the data is provided.</w:t>
      </w:r>
    </w:p>
    <w:bookmarkEnd w:id="88"/>
    <w:bookmarkStart w:id="89"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9"/>
    <w:bookmarkEnd w:id="90"/>
    <w:bookmarkStart w:id="94" w:name="sec:meta-measurenc"/>
    <w:p>
      <w:pPr>
        <w:pStyle w:val="berschrift4"/>
      </w:pPr>
      <w:r>
        <w:rPr>
          <w:rStyle w:val="VerbatimChar"/>
        </w:rPr>
        <w:t xml:space="preserve">1.14.</w:t>
      </w:r>
      <w:r>
        <w:t xml:space="preserve"> </w:t>
      </w:r>
      <w:r>
        <w:t xml:space="preserve">Measurand Encoding</w:t>
      </w:r>
    </w:p>
    <w:p>
      <w:pPr>
        <w:pStyle w:val="FirstParagraph"/>
      </w:pPr>
      <w:r>
        <w:t xml:space="preserve">Identifier:</w:t>
      </w:r>
      <w:r>
        <w:t xml:space="preserve"> </w:t>
      </w:r>
      <w:r>
        <w:rPr>
          <w:rStyle w:val="VerbatimChar"/>
        </w:rPr>
        <w:t xml:space="preserve">meta-measurenc</w:t>
      </w:r>
    </w:p>
    <w:bookmarkStart w:id="91" w:name="threshold-requirements-13"/>
    <w:p>
      <w:pPr>
        <w:pStyle w:val="berschrift5"/>
      </w:pPr>
      <w:r>
        <w:t xml:space="preserve">Threshold requirements:</w:t>
      </w:r>
    </w:p>
    <w:p>
      <w:pPr>
        <w:pStyle w:val="FirstParagraph"/>
      </w:pPr>
      <w:r>
        <w:t xml:space="preserve">Range and bit depth are provided.</w:t>
      </w:r>
    </w:p>
    <w:bookmarkEnd w:id="91"/>
    <w:bookmarkStart w:id="92" w:name="goal-requirements-13"/>
    <w:p>
      <w:pPr>
        <w:pStyle w:val="berschrift5"/>
      </w:pPr>
      <w:r>
        <w:t xml:space="preserve">Goal requirements:</w:t>
      </w:r>
    </w:p>
    <w:p>
      <w:pPr>
        <w:pStyle w:val="FirstParagraph"/>
      </w:pPr>
      <w:r>
        <w:t xml:space="preserve">As threshold.</w:t>
      </w:r>
      <w:r>
        <w:t xml:space="preserve"> </w:t>
      </w:r>
    </w:p>
    <w:bookmarkEnd w:id="92"/>
    <w:bookmarkStart w:id="93"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3"/>
    <w:bookmarkEnd w:id="94"/>
    <w:bookmarkStart w:id="98" w:name="sec:meta-malgos-st"/>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meta-malgos-st</w:t>
      </w:r>
    </w:p>
    <w:bookmarkStart w:id="95" w:name="threshold-requirements-14"/>
    <w:p>
      <w:pPr>
        <w:pStyle w:val="berschrift5"/>
      </w:pPr>
      <w:r>
        <w:t xml:space="preserve">Threshold requirements:</w:t>
      </w:r>
    </w:p>
    <w:p>
      <w:pPr>
        <w:pStyle w:val="FirstParagraph"/>
      </w:pPr>
      <w:r>
        <w:t xml:space="preserve">Not required.</w:t>
      </w:r>
      <w:r>
        <w:t xml:space="preserve"> </w:t>
      </w:r>
    </w:p>
    <w:bookmarkEnd w:id="95"/>
    <w:bookmarkStart w:id="96" w:name="goal-requirements-14"/>
    <w:p>
      <w:pPr>
        <w:pStyle w:val="berschrift5"/>
      </w:pPr>
      <w:r>
        <w:t xml:space="preserve">Goal requirements:</w:t>
      </w:r>
    </w:p>
    <w:p>
      <w:pPr>
        <w:pStyle w:val="FirstParagraph"/>
      </w:pPr>
      <w:r>
        <w:t xml:space="preserve">All algorithms and the sequence in which they were applied in the generation process are identified and documented by URL or DOI.</w:t>
      </w:r>
    </w:p>
    <w:p>
      <w:pPr>
        <w:pStyle w:val="Textkrper"/>
      </w:pPr>
      <w:r>
        <w:t xml:space="preserve">Algorithms must be published and validated, and a description of the validation process is included.</w:t>
      </w:r>
    </w:p>
    <w:bookmarkEnd w:id="96"/>
    <w:bookmarkStart w:id="97" w:name="assessment-14"/>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97"/>
    <w:bookmarkEnd w:id="98"/>
    <w:bookmarkStart w:id="102" w:name="sec:meta-auxdat-st"/>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meta-auxdat-st</w:t>
      </w:r>
    </w:p>
    <w:bookmarkStart w:id="99" w:name="threshold-requirements-15"/>
    <w:p>
      <w:pPr>
        <w:pStyle w:val="berschrift5"/>
      </w:pPr>
      <w:r>
        <w:t xml:space="preserve">Threshold requirements:</w:t>
      </w:r>
    </w:p>
    <w:p>
      <w:pPr>
        <w:pStyle w:val="FirstParagraph"/>
      </w:pPr>
      <w:r>
        <w:t xml:space="preserve">Lists the sources of auxiliary data used in the generation process, documented by URL or DOI.</w:t>
      </w:r>
    </w:p>
    <w:p>
      <w:pPr>
        <w:pStyle w:val="Textkrper"/>
      </w:pPr>
      <w:r>
        <w:t xml:space="preserve">Note:</w:t>
      </w:r>
    </w:p>
    <w:p>
      <w:pPr>
        <w:pStyle w:val="Compact"/>
        <w:numPr>
          <w:ilvl w:val="0"/>
          <w:numId w:val="1021"/>
        </w:numPr>
      </w:pPr>
      <w:r>
        <w:t xml:space="preserve">Auxiliary data includes DEMs, aerosols, water vapor, Climate Modeling Grids, and any other data sources used in product generation.</w:t>
      </w:r>
    </w:p>
    <w:bookmarkEnd w:id="99"/>
    <w:bookmarkStart w:id="100"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0"/>
    <w:bookmarkStart w:id="101"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1"/>
    <w:bookmarkEnd w:id="102"/>
    <w:bookmarkStart w:id="106" w:name="sec:meta-proprov-st"/>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meta-proprov-st</w:t>
      </w:r>
    </w:p>
    <w:bookmarkStart w:id="103" w:name="threshold-requirements-16"/>
    <w:p>
      <w:pPr>
        <w:pStyle w:val="berschrift5"/>
      </w:pPr>
      <w:r>
        <w:t xml:space="preserve">Threshold requirements:</w:t>
      </w:r>
    </w:p>
    <w:p>
      <w:pPr>
        <w:pStyle w:val="FirstParagraph"/>
      </w:pPr>
      <w:r>
        <w:t xml:space="preserve">The provider attaches to each delivered dataset (delivery unit) information which allows the provider to reconstruct the exact processing environment (software versions, calibration files, parameter settings) in which this particular output was produced.</w:t>
      </w:r>
    </w:p>
    <w:bookmarkEnd w:id="103"/>
    <w:bookmarkStart w:id="104" w:name="goal-requirements-16"/>
    <w:p>
      <w:pPr>
        <w:pStyle w:val="berschrift5"/>
      </w:pPr>
      <w:r>
        <w:t xml:space="preserve">Goal requirements:</w:t>
      </w:r>
    </w:p>
    <w:p>
      <w:pPr>
        <w:pStyle w:val="FirstParagraph"/>
      </w:pPr>
      <w:r>
        <w:t xml:space="preserve">As threshold, but the provider is required to reproduce the exact same output.</w:t>
      </w:r>
    </w:p>
    <w:bookmarkEnd w:id="104"/>
    <w:bookmarkStart w:id="105"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5"/>
    <w:bookmarkEnd w:id="106"/>
    <w:bookmarkStart w:id="110" w:name="sec:meta-daccess-st"/>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meta-daccess-st</w:t>
      </w:r>
    </w:p>
    <w:bookmarkStart w:id="107" w:name="threshold-requirements-17"/>
    <w:p>
      <w:pPr>
        <w:pStyle w:val="berschrift5"/>
      </w:pPr>
      <w:r>
        <w:t xml:space="preserve">Threshold requirements:</w:t>
      </w:r>
    </w:p>
    <w:p>
      <w:pPr>
        <w:pStyle w:val="FirstParagraph"/>
      </w:pPr>
      <w:r>
        <w:t xml:space="preserve">The location from where the data can be retrieved is identified, expressed as a URL or DOI.</w:t>
      </w:r>
    </w:p>
    <w:p>
      <w:pPr>
        <w:pStyle w:val="Textkrper"/>
      </w:pPr>
      <w:r>
        <w:t xml:space="preserve">Note:</w:t>
      </w:r>
    </w:p>
    <w:p>
      <w:pPr>
        <w:pStyle w:val="Compact"/>
        <w:numPr>
          <w:ilvl w:val="0"/>
          <w:numId w:val="1024"/>
        </w:numPr>
      </w:pPr>
      <w:r>
        <w:t xml:space="preserve">Manual and offline interaction action (e.g., login) may be required.</w:t>
      </w:r>
    </w:p>
    <w:bookmarkEnd w:id="107"/>
    <w:bookmarkStart w:id="108" w:name="goal-requirements-17"/>
    <w:p>
      <w:pPr>
        <w:pStyle w:val="berschrift5"/>
      </w:pPr>
      <w:r>
        <w:t xml:space="preserve">Goal requirements:</w:t>
      </w:r>
    </w:p>
    <w:p>
      <w:pPr>
        <w:pStyle w:val="FirstParagraph"/>
      </w:pPr>
      <w:r>
        <w:t xml:space="preserve">An online location is identified from where the data can be consistently and reliably retrieved by a computer algorithm without any manual intervention being required.</w:t>
      </w:r>
    </w:p>
    <w:bookmarkEnd w:id="108"/>
    <w:bookmarkStart w:id="109"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9"/>
    <w:bookmarkEnd w:id="110"/>
    <w:bookmarkStart w:id="114"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1"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11"/>
    <w:bookmarkStart w:id="112" w:name="goal-requirements-18"/>
    <w:p>
      <w:pPr>
        <w:pStyle w:val="berschrift5"/>
      </w:pPr>
      <w:r>
        <w:t xml:space="preserve">Goal requirements:</w:t>
      </w:r>
    </w:p>
    <w:p>
      <w:pPr>
        <w:pStyle w:val="FirstParagraph"/>
      </w:pPr>
      <w:r>
        <w:t xml:space="preserve">As threshold.</w:t>
      </w:r>
      <w:r>
        <w:t xml:space="preserve"> </w:t>
      </w:r>
    </w:p>
    <w:bookmarkEnd w:id="112"/>
    <w:bookmarkStart w:id="113"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3"/>
    <w:bookmarkEnd w:id="114"/>
    <w:bookmarkEnd w:id="115"/>
    <w:bookmarkStart w:id="148"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19" w:name="sec:pxl-pinodat-st"/>
    <w:p>
      <w:pPr>
        <w:pStyle w:val="berschrift4"/>
      </w:pPr>
      <w:r>
        <w:rPr>
          <w:rStyle w:val="VerbatimChar"/>
        </w:rPr>
        <w:t xml:space="preserve">2.1.</w:t>
      </w:r>
      <w:r>
        <w:t xml:space="preserve"> </w:t>
      </w:r>
      <w:r>
        <w:t xml:space="preserve">No Data</w:t>
      </w:r>
    </w:p>
    <w:p>
      <w:pPr>
        <w:pStyle w:val="FirstParagraph"/>
      </w:pPr>
      <w:r>
        <w:t xml:space="preserve">Identifier:</w:t>
      </w:r>
      <w:r>
        <w:t xml:space="preserve"> </w:t>
      </w:r>
      <w:r>
        <w:rPr>
          <w:rStyle w:val="VerbatimChar"/>
        </w:rPr>
        <w:t xml:space="preserve">pxl-pinodat-st</w:t>
      </w:r>
    </w:p>
    <w:bookmarkStart w:id="116" w:name="threshold-requirements-19"/>
    <w:p>
      <w:pPr>
        <w:pStyle w:val="berschrift5"/>
      </w:pPr>
      <w:r>
        <w:t xml:space="preserve">Threshold requirements:</w:t>
      </w:r>
    </w:p>
    <w:p>
      <w:pPr>
        <w:pStyle w:val="FirstParagraph"/>
      </w:pPr>
      <w:r>
        <w:t xml:space="preserve">Pixels that do not correspond to an observation (No Data / Invalid / Falsified / Valid / Modelled) are flagged.</w:t>
      </w:r>
    </w:p>
    <w:bookmarkEnd w:id="116"/>
    <w:bookmarkStart w:id="117" w:name="goal-requirements-19"/>
    <w:p>
      <w:pPr>
        <w:pStyle w:val="berschrift5"/>
      </w:pPr>
      <w:r>
        <w:t xml:space="preserve">Goal requirements:</w:t>
      </w:r>
    </w:p>
    <w:p>
      <w:pPr>
        <w:pStyle w:val="FirstParagraph"/>
      </w:pPr>
      <w:r>
        <w:t xml:space="preserve">As threshold.</w:t>
      </w:r>
      <w:r>
        <w:t xml:space="preserve"> </w:t>
      </w:r>
    </w:p>
    <w:bookmarkEnd w:id="117"/>
    <w:bookmarkStart w:id="118"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8"/>
    <w:bookmarkEnd w:id="119"/>
    <w:bookmarkStart w:id="123" w:name="sec:pxl-pincot-st"/>
    <w:p>
      <w:pPr>
        <w:pStyle w:val="berschrift4"/>
      </w:pPr>
      <w:r>
        <w:rPr>
          <w:rStyle w:val="VerbatimChar"/>
        </w:rPr>
        <w:t xml:space="preserve">2.2.</w:t>
      </w:r>
      <w:r>
        <w:t xml:space="preserve"> </w:t>
      </w:r>
      <w:r>
        <w:t xml:space="preserve">Incomplete Testing</w:t>
      </w:r>
    </w:p>
    <w:p>
      <w:pPr>
        <w:pStyle w:val="FirstParagraph"/>
      </w:pPr>
      <w:r>
        <w:t xml:space="preserve">Identifier:</w:t>
      </w:r>
      <w:r>
        <w:t xml:space="preserve"> </w:t>
      </w:r>
      <w:r>
        <w:rPr>
          <w:rStyle w:val="VerbatimChar"/>
        </w:rPr>
        <w:t xml:space="preserve">pxl-pincot-st</w:t>
      </w:r>
    </w:p>
    <w:bookmarkStart w:id="120" w:name="threshold-requirements-20"/>
    <w:p>
      <w:pPr>
        <w:pStyle w:val="berschrift5"/>
      </w:pPr>
      <w:r>
        <w:t xml:space="preserve">Threshold requirements:</w:t>
      </w:r>
    </w:p>
    <w:p>
      <w:pPr>
        <w:pStyle w:val="FirstParagraph"/>
      </w:pPr>
      <w:r>
        <w:t xml:space="preserve">Identifies pixels for which the per-pixel tests (</w:t>
      </w:r>
      <w:hyperlink w:anchor="sec:pxl-pisatur-ar">
        <w:r>
          <w:rPr>
            <w:rStyle w:val="Hyperlink"/>
          </w:rPr>
          <w:t xml:space="preserve">Per-Pixel Metadata: Saturation</w:t>
        </w:r>
      </w:hyperlink>
      <w:r>
        <w:t xml:space="preserve">,</w:t>
      </w:r>
      <w:r>
        <w:t xml:space="preserve"> </w:t>
      </w:r>
      <w:hyperlink w:anchor="sec:pxl-picloud-st">
        <w:r>
          <w:rPr>
            <w:rStyle w:val="Hyperlink"/>
          </w:rPr>
          <w:t xml:space="preserve">Per-Pixel Metadata: Cloud</w:t>
        </w:r>
      </w:hyperlink>
      <w:r>
        <w:t xml:space="preserve">,</w:t>
      </w:r>
      <w:r>
        <w:t xml:space="preserve"> </w:t>
      </w:r>
      <w:hyperlink w:anchor="sec:pxl-picloudsh-st">
        <w:r>
          <w:rPr>
            <w:rStyle w:val="Hyperlink"/>
          </w:rPr>
          <w:t xml:space="preserve">Per-Pixel Metadata: Cloud Shadow</w:t>
        </w:r>
      </w:hyperlink>
      <w:r>
        <w:t xml:space="preserve">,</w:t>
      </w:r>
      <w:r>
        <w:t xml:space="preserve"> </w:t>
      </w:r>
      <w:hyperlink w:anchor="sec:pxl-surf-st">
        <w:r>
          <w:rPr>
            <w:rStyle w:val="Hyperlink"/>
          </w:rPr>
          <w:t xml:space="preserve">Per-Pixel Metadata: Surface</w:t>
        </w:r>
      </w:hyperlink>
      <w:r>
        <w:t xml:space="preserve">,</w:t>
      </w:r>
      <w:r>
        <w:t xml:space="preserve"> </w:t>
      </w:r>
      <w:hyperlink w:anchor="sec:pxl-terrain-st">
        <w:r>
          <w:rPr>
            <w:rStyle w:val="Hyperlink"/>
          </w:rPr>
          <w:t xml:space="preserve">Per-Pixel Metadata: Terrain Occlusion</w:t>
        </w:r>
      </w:hyperlink>
      <w:r>
        <w:t xml:space="preserve">) have not all been successfully completed.</w:t>
      </w:r>
    </w:p>
    <w:p>
      <w:pPr>
        <w:pStyle w:val="Textkrper"/>
      </w:pPr>
      <w:r>
        <w:t xml:space="preserve">Note:</w:t>
      </w:r>
    </w:p>
    <w:p>
      <w:pPr>
        <w:pStyle w:val="Compact"/>
        <w:numPr>
          <w:ilvl w:val="0"/>
          <w:numId w:val="1028"/>
        </w:numPr>
      </w:pPr>
      <w:r>
        <w:t xml:space="preserve">This may be the result of missing ancillary data for a subset of the pixels.</w:t>
      </w:r>
    </w:p>
    <w:bookmarkEnd w:id="120"/>
    <w:bookmarkStart w:id="121" w:name="goal-requirements-20"/>
    <w:p>
      <w:pPr>
        <w:pStyle w:val="berschrift5"/>
      </w:pPr>
      <w:r>
        <w:t xml:space="preserve">Goal requirements:</w:t>
      </w:r>
    </w:p>
    <w:p>
      <w:pPr>
        <w:pStyle w:val="FirstParagraph"/>
      </w:pPr>
      <w:r>
        <w:t xml:space="preserve">Identifies which tests (</w:t>
      </w:r>
      <w:hyperlink w:anchor="sec:pxl-pisatur-ar">
        <w:r>
          <w:rPr>
            <w:rStyle w:val="Hyperlink"/>
          </w:rPr>
          <w:t xml:space="preserve">Per-Pixel Metadata: Saturation</w:t>
        </w:r>
      </w:hyperlink>
      <w:r>
        <w:t xml:space="preserve">,</w:t>
      </w:r>
      <w:r>
        <w:t xml:space="preserve"> </w:t>
      </w:r>
      <w:hyperlink w:anchor="sec:pxl-picloud-st">
        <w:r>
          <w:rPr>
            <w:rStyle w:val="Hyperlink"/>
          </w:rPr>
          <w:t xml:space="preserve">Per-Pixel Metadata: Cloud</w:t>
        </w:r>
      </w:hyperlink>
      <w:r>
        <w:t xml:space="preserve">,</w:t>
      </w:r>
      <w:r>
        <w:t xml:space="preserve"> </w:t>
      </w:r>
      <w:hyperlink w:anchor="sec:pxl-picloudsh-st">
        <w:r>
          <w:rPr>
            <w:rStyle w:val="Hyperlink"/>
          </w:rPr>
          <w:t xml:space="preserve">Per-Pixel Metadata: Cloud Shadow</w:t>
        </w:r>
      </w:hyperlink>
      <w:r>
        <w:t xml:space="preserve">,</w:t>
      </w:r>
      <w:r>
        <w:t xml:space="preserve"> </w:t>
      </w:r>
      <w:hyperlink w:anchor="sec:pxl-surf-st">
        <w:r>
          <w:rPr>
            <w:rStyle w:val="Hyperlink"/>
          </w:rPr>
          <w:t xml:space="preserve">Per-Pixel Metadata: Surface</w:t>
        </w:r>
      </w:hyperlink>
      <w:r>
        <w:t xml:space="preserve">,</w:t>
      </w:r>
      <w:r>
        <w:t xml:space="preserve"> </w:t>
      </w:r>
      <w:hyperlink w:anchor="sec:pxl-terrain-st">
        <w:r>
          <w:rPr>
            <w:rStyle w:val="Hyperlink"/>
          </w:rPr>
          <w:t xml:space="preserve">Per-Pixel Metadata: Terrain Occlusion</w:t>
        </w:r>
      </w:hyperlink>
      <w:r>
        <w:t xml:space="preserve">) have and have not been successfully completed for each pixel.</w:t>
      </w:r>
    </w:p>
    <w:bookmarkEnd w:id="121"/>
    <w:bookmarkStart w:id="122" w:name="assessment-20"/>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22"/>
    <w:bookmarkEnd w:id="123"/>
    <w:bookmarkStart w:id="127" w:name="sec:pxl-pisatur-ar"/>
    <w:p>
      <w:pPr>
        <w:pStyle w:val="berschrift4"/>
      </w:pPr>
      <w:r>
        <w:rPr>
          <w:rStyle w:val="VerbatimChar"/>
        </w:rPr>
        <w:t xml:space="preserve">2.3.</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4" w:name="threshold-requirements-21"/>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4"/>
    <w:bookmarkStart w:id="125" w:name="goal-requirements-21"/>
    <w:p>
      <w:pPr>
        <w:pStyle w:val="berschrift5"/>
      </w:pPr>
      <w:r>
        <w:t xml:space="preserve">Goal requirements:</w:t>
      </w:r>
    </w:p>
    <w:p>
      <w:pPr>
        <w:pStyle w:val="FirstParagraph"/>
      </w:pPr>
      <w:r>
        <w:t xml:space="preserve">As threshold, with specification of which pixels are radiometrically saturated for each spectral band.</w:t>
      </w:r>
    </w:p>
    <w:bookmarkEnd w:id="125"/>
    <w:bookmarkStart w:id="126"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6"/>
    <w:bookmarkEnd w:id="127"/>
    <w:bookmarkStart w:id="131" w:name="sec:pxl-picloud-st"/>
    <w:p>
      <w:pPr>
        <w:pStyle w:val="berschrift4"/>
      </w:pPr>
      <w:r>
        <w:rPr>
          <w:rStyle w:val="VerbatimChar"/>
        </w:rPr>
        <w:t xml:space="preserve">2.4.</w:t>
      </w:r>
      <w:r>
        <w:t xml:space="preserve"> </w:t>
      </w:r>
      <w:r>
        <w:t xml:space="preserve">Cloud</w:t>
      </w:r>
    </w:p>
    <w:p>
      <w:pPr>
        <w:pStyle w:val="FirstParagraph"/>
      </w:pPr>
      <w:r>
        <w:t xml:space="preserve">Identifier:</w:t>
      </w:r>
      <w:r>
        <w:t xml:space="preserve"> </w:t>
      </w:r>
      <w:r>
        <w:rPr>
          <w:rStyle w:val="VerbatimChar"/>
        </w:rPr>
        <w:t xml:space="preserve">pxl-picloud-st</w:t>
      </w:r>
    </w:p>
    <w:bookmarkStart w:id="128" w:name="threshold-requirements-22"/>
    <w:p>
      <w:pPr>
        <w:pStyle w:val="berschrift5"/>
      </w:pPr>
      <w:r>
        <w:t xml:space="preserve">Threshold requirements:</w:t>
      </w:r>
    </w:p>
    <w:p>
      <w:pPr>
        <w:pStyle w:val="FirstParagraph"/>
      </w:pPr>
      <w:r>
        <w:t xml:space="preserve">Specification of whether a pixel is cloud-affected.</w:t>
      </w:r>
    </w:p>
    <w:bookmarkEnd w:id="128"/>
    <w:bookmarkStart w:id="129" w:name="goal-requirements-22"/>
    <w:p>
      <w:pPr>
        <w:pStyle w:val="berschrift5"/>
      </w:pPr>
      <w:r>
        <w:t xml:space="preserve">Goal requirements:</w:t>
      </w:r>
    </w:p>
    <w:p>
      <w:pPr>
        <w:pStyle w:val="FirstParagraph"/>
      </w:pPr>
      <w:r>
        <w:t xml:space="preserve">As threshold, but information on cloud type or confidence is included, documented by URL or DOI.</w:t>
      </w:r>
    </w:p>
    <w:bookmarkEnd w:id="129"/>
    <w:bookmarkStart w:id="130"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0"/>
    <w:bookmarkEnd w:id="131"/>
    <w:bookmarkStart w:id="135" w:name="sec:pxl-picloudsh-st"/>
    <w:p>
      <w:pPr>
        <w:pStyle w:val="berschrift4"/>
      </w:pPr>
      <w:r>
        <w:rPr>
          <w:rStyle w:val="VerbatimChar"/>
        </w:rPr>
        <w:t xml:space="preserve">2.5.</w:t>
      </w:r>
      <w:r>
        <w:t xml:space="preserve"> </w:t>
      </w:r>
      <w:r>
        <w:t xml:space="preserve">Cloud Shadow</w:t>
      </w:r>
    </w:p>
    <w:p>
      <w:pPr>
        <w:pStyle w:val="FirstParagraph"/>
      </w:pPr>
      <w:r>
        <w:t xml:space="preserve">Identifier:</w:t>
      </w:r>
      <w:r>
        <w:t xml:space="preserve"> </w:t>
      </w:r>
      <w:r>
        <w:rPr>
          <w:rStyle w:val="VerbatimChar"/>
        </w:rPr>
        <w:t xml:space="preserve">pxl-picloudsh-st</w:t>
      </w:r>
    </w:p>
    <w:bookmarkStart w:id="132" w:name="threshold-requirements-23"/>
    <w:p>
      <w:pPr>
        <w:pStyle w:val="berschrift5"/>
      </w:pPr>
      <w:r>
        <w:t xml:space="preserve">Threshold requirements:</w:t>
      </w:r>
    </w:p>
    <w:p>
      <w:pPr>
        <w:pStyle w:val="FirstParagraph"/>
      </w:pPr>
      <w:r>
        <w:t xml:space="preserve">Not required.</w:t>
      </w:r>
      <w:r>
        <w:t xml:space="preserve"> </w:t>
      </w:r>
    </w:p>
    <w:bookmarkEnd w:id="132"/>
    <w:bookmarkStart w:id="133" w:name="goal-requirements-23"/>
    <w:p>
      <w:pPr>
        <w:pStyle w:val="berschrift5"/>
      </w:pPr>
      <w:r>
        <w:t xml:space="preserve">Goal requirements:</w:t>
      </w:r>
    </w:p>
    <w:p>
      <w:pPr>
        <w:pStyle w:val="FirstParagraph"/>
      </w:pPr>
      <w:r>
        <w:t xml:space="preserve">Specification of whether a pixel is cloud shadow-affected. Information on cloud shadow detection is documented by URL or DOI.</w:t>
      </w:r>
    </w:p>
    <w:bookmarkEnd w:id="133"/>
    <w:bookmarkStart w:id="134" w:name="assessment-23"/>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34"/>
    <w:bookmarkEnd w:id="135"/>
    <w:bookmarkStart w:id="139" w:name="sec:pxl-surf-st"/>
    <w:p>
      <w:pPr>
        <w:pStyle w:val="berschrift4"/>
      </w:pPr>
      <w:r>
        <w:rPr>
          <w:rStyle w:val="VerbatimChar"/>
        </w:rPr>
        <w:t xml:space="preserve">2.6.</w:t>
      </w:r>
      <w:r>
        <w:t xml:space="preserve"> </w:t>
      </w:r>
      <w:r>
        <w:t xml:space="preserve">Surface</w:t>
      </w:r>
    </w:p>
    <w:p>
      <w:pPr>
        <w:pStyle w:val="FirstParagraph"/>
      </w:pPr>
      <w:r>
        <w:t xml:space="preserve">Identifier:</w:t>
      </w:r>
      <w:r>
        <w:t xml:space="preserve"> </w:t>
      </w:r>
      <w:r>
        <w:rPr>
          <w:rStyle w:val="VerbatimChar"/>
        </w:rPr>
        <w:t xml:space="preserve">pxl-surf-st</w:t>
      </w:r>
    </w:p>
    <w:bookmarkStart w:id="136" w:name="threshold-requirements-24"/>
    <w:p>
      <w:pPr>
        <w:pStyle w:val="berschrift5"/>
      </w:pPr>
      <w:r>
        <w:t xml:space="preserve">Threshold requirements:</w:t>
      </w:r>
    </w:p>
    <w:p>
      <w:pPr>
        <w:pStyle w:val="FirstParagraph"/>
      </w:pPr>
      <w:r>
        <w:t xml:space="preserve">Specification of whether a pixel is assessed as being land or water, including the information source and other relevant surface characteristic information.</w:t>
      </w:r>
    </w:p>
    <w:p>
      <w:pPr>
        <w:pStyle w:val="Textkrper"/>
      </w:pPr>
      <w:r>
        <w:t xml:space="preserve">Note:</w:t>
      </w:r>
    </w:p>
    <w:p>
      <w:pPr>
        <w:pStyle w:val="Compact"/>
        <w:numPr>
          <w:ilvl w:val="0"/>
          <w:numId w:val="1033"/>
        </w:numPr>
      </w:pPr>
      <w:r>
        <w:t xml:space="preserve">External data sources are listed in</w:t>
      </w:r>
      <w:r>
        <w:t xml:space="preserve"> </w:t>
      </w:r>
      <w:hyperlink w:anchor="sec:meta-auxdat-st">
        <w:r>
          <w:rPr>
            <w:rStyle w:val="Hyperlink"/>
          </w:rPr>
          <w:t xml:space="preserve">General Metadata: Auxiliary Data</w:t>
        </w:r>
      </w:hyperlink>
      <w:r>
        <w:t xml:space="preserve">.</w:t>
      </w:r>
    </w:p>
    <w:bookmarkEnd w:id="136"/>
    <w:bookmarkStart w:id="137" w:name="goal-requirements-24"/>
    <w:p>
      <w:pPr>
        <w:pStyle w:val="berschrift5"/>
      </w:pPr>
      <w:r>
        <w:t xml:space="preserve">Goal requirements:</w:t>
      </w:r>
    </w:p>
    <w:p>
      <w:pPr>
        <w:pStyle w:val="FirstParagraph"/>
      </w:pPr>
      <w:r>
        <w:t xml:space="preserve">As threshold, but pixels are identified as being snow or ice.</w:t>
      </w:r>
    </w:p>
    <w:bookmarkEnd w:id="137"/>
    <w:bookmarkStart w:id="138"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8"/>
    <w:bookmarkEnd w:id="139"/>
    <w:bookmarkStart w:id="143" w:name="sec:pxl-vigeso-ar"/>
    <w:p>
      <w:pPr>
        <w:pStyle w:val="berschrift4"/>
      </w:pPr>
      <w:r>
        <w:rPr>
          <w:rStyle w:val="VerbatimChar"/>
        </w:rPr>
        <w:t xml:space="preserve">2.7.</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40" w:name="threshold-requirements-25"/>
    <w:p>
      <w:pPr>
        <w:pStyle w:val="berschrift5"/>
      </w:pPr>
      <w:r>
        <w:t xml:space="preserve">Threshold requirements:</w:t>
      </w:r>
    </w:p>
    <w:p>
      <w:pPr>
        <w:pStyle w:val="FirstParagraph"/>
      </w:pPr>
      <w:r>
        <w:t xml:space="preserve">Specification of the solar and sensor viewing azimuth and zenith angles.</w:t>
      </w:r>
    </w:p>
    <w:bookmarkEnd w:id="140"/>
    <w:bookmarkStart w:id="141" w:name="goal-requirements-25"/>
    <w:p>
      <w:pPr>
        <w:pStyle w:val="berschrift5"/>
      </w:pPr>
      <w:r>
        <w:t xml:space="preserve">Goal requirements:</w:t>
      </w:r>
    </w:p>
    <w:p>
      <w:pPr>
        <w:pStyle w:val="FirstParagraph"/>
      </w:pPr>
      <w:r>
        <w:t xml:space="preserve">As threshold.</w:t>
      </w:r>
      <w:r>
        <w:t xml:space="preserve"> </w:t>
      </w:r>
    </w:p>
    <w:bookmarkEnd w:id="141"/>
    <w:bookmarkStart w:id="142" w:name="assessment-25"/>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42"/>
    <w:bookmarkEnd w:id="143"/>
    <w:bookmarkStart w:id="147" w:name="sec:pxl-terrain-st"/>
    <w:p>
      <w:pPr>
        <w:pStyle w:val="berschrift4"/>
      </w:pPr>
      <w:r>
        <w:rPr>
          <w:rStyle w:val="VerbatimChar"/>
        </w:rPr>
        <w:t xml:space="preserve">2.8.</w:t>
      </w:r>
      <w:r>
        <w:t xml:space="preserve"> </w:t>
      </w:r>
      <w:r>
        <w:t xml:space="preserve">Terrain Occlusion</w:t>
      </w:r>
    </w:p>
    <w:p>
      <w:pPr>
        <w:pStyle w:val="FirstParagraph"/>
      </w:pPr>
      <w:r>
        <w:t xml:space="preserve">Identifier:</w:t>
      </w:r>
      <w:r>
        <w:t xml:space="preserve"> </w:t>
      </w:r>
      <w:r>
        <w:rPr>
          <w:rStyle w:val="VerbatimChar"/>
        </w:rPr>
        <w:t xml:space="preserve">pxl-terrain-st</w:t>
      </w:r>
    </w:p>
    <w:bookmarkStart w:id="144" w:name="threshold-requirements-26"/>
    <w:p>
      <w:pPr>
        <w:pStyle w:val="berschrift5"/>
      </w:pPr>
      <w:r>
        <w:t xml:space="preserve">Threshold requirements:</w:t>
      </w:r>
    </w:p>
    <w:p>
      <w:pPr>
        <w:pStyle w:val="FirstParagraph"/>
      </w:pPr>
      <w:r>
        <w:t xml:space="preserve">Not required.</w:t>
      </w:r>
      <w:r>
        <w:t xml:space="preserve"> </w:t>
      </w:r>
    </w:p>
    <w:bookmarkEnd w:id="144"/>
    <w:bookmarkStart w:id="145" w:name="goal-requirements-26"/>
    <w:p>
      <w:pPr>
        <w:pStyle w:val="berschrift5"/>
      </w:pPr>
      <w:r>
        <w:t xml:space="preserve">Goal requirements:</w:t>
      </w:r>
    </w:p>
    <w:p>
      <w:pPr>
        <w:pStyle w:val="FirstParagraph"/>
      </w:pPr>
      <w:r>
        <w:t xml:space="preserve">Specification of whether pixels are not visible to the sensor due to terrain occlusion during off-nadir viewing.</w:t>
      </w:r>
    </w:p>
    <w:bookmarkEnd w:id="145"/>
    <w:bookmarkStart w:id="146" w:name="assessment-26"/>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bookmarkEnd w:id="146"/>
    <w:bookmarkEnd w:id="147"/>
    <w:bookmarkEnd w:id="148"/>
    <w:bookmarkStart w:id="165"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2" w:name="sec:rac-measur-st"/>
    <w:p>
      <w:pPr>
        <w:pStyle w:val="berschrift4"/>
      </w:pPr>
      <w:r>
        <w:rPr>
          <w:rStyle w:val="VerbatimChar"/>
        </w:rPr>
        <w:t xml:space="preserve">3.1.</w:t>
      </w:r>
      <w:r>
        <w:t xml:space="preserve"> </w:t>
      </w:r>
      <w:r>
        <w:t xml:space="preserve">Measurand</w:t>
      </w:r>
    </w:p>
    <w:p>
      <w:pPr>
        <w:pStyle w:val="FirstParagraph"/>
      </w:pPr>
      <w:r>
        <w:t xml:space="preserve">Identifier:</w:t>
      </w:r>
      <w:r>
        <w:t xml:space="preserve"> </w:t>
      </w:r>
      <w:r>
        <w:rPr>
          <w:rStyle w:val="VerbatimChar"/>
        </w:rPr>
        <w:t xml:space="preserve">rac-measur-st</w:t>
      </w:r>
    </w:p>
    <w:bookmarkStart w:id="149" w:name="threshold-requirements-27"/>
    <w:p>
      <w:pPr>
        <w:pStyle w:val="berschrift5"/>
      </w:pPr>
      <w:r>
        <w:t xml:space="preserve">Threshold requirements:</w:t>
      </w:r>
    </w:p>
    <w:p>
      <w:pPr>
        <w:pStyle w:val="FirstParagraph"/>
      </w:pPr>
      <w:r>
        <w:t xml:space="preserve">Pixel values are a measurement of the Surface Temperature expressed in kelvin.</w:t>
      </w:r>
    </w:p>
    <w:p>
      <w:pPr>
        <w:pStyle w:val="Textkrper"/>
      </w:pPr>
      <w:r>
        <w:t xml:space="preserve">Note:</w:t>
      </w:r>
    </w:p>
    <w:p>
      <w:pPr>
        <w:pStyle w:val="Compact"/>
        <w:numPr>
          <w:ilvl w:val="0"/>
          <w:numId w:val="1037"/>
        </w:numPr>
      </w:pPr>
      <w:r>
        <w:t xml:space="preserve">See</w:t>
      </w:r>
      <w:r>
        <w:t xml:space="preserve"> </w:t>
      </w:r>
      <w:hyperlink w:anchor="sec:meta-specband-st">
        <w:r>
          <w:rPr>
            <w:rStyle w:val="Hyperlink"/>
          </w:rPr>
          <w:t xml:space="preserve">General Metadata: Spectral Bands</w:t>
        </w:r>
      </w:hyperlink>
    </w:p>
    <w:bookmarkEnd w:id="149"/>
    <w:bookmarkStart w:id="150" w:name="goal-requirements-27"/>
    <w:p>
      <w:pPr>
        <w:pStyle w:val="berschrift5"/>
      </w:pPr>
      <w:r>
        <w:t xml:space="preserve">Goal requirements:</w:t>
      </w:r>
    </w:p>
    <w:p>
      <w:pPr>
        <w:pStyle w:val="FirstParagraph"/>
      </w:pPr>
      <w:r>
        <w:t xml:space="preserve">Surface temperature measurements are SI traceable (see also</w:t>
      </w:r>
      <w:r>
        <w:t xml:space="preserve"> </w:t>
      </w:r>
      <w:hyperlink w:anchor="sec:meta-trace-st">
        <w:r>
          <w:rPr>
            <w:rStyle w:val="Hyperlink"/>
          </w:rPr>
          <w:t xml:space="preserve">General Metadata: Metrological Traceability of the Measurand to SI</w:t>
        </w:r>
      </w:hyperlink>
      <w:r>
        <w:t xml:space="preserve">).</w:t>
      </w:r>
    </w:p>
    <w:bookmarkEnd w:id="150"/>
    <w:bookmarkStart w:id="151" w:name="assessment-27"/>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51"/>
    <w:bookmarkEnd w:id="152"/>
    <w:bookmarkStart w:id="156" w:name="sec:rac-catmos"/>
    <w:p>
      <w:pPr>
        <w:pStyle w:val="berschrift4"/>
      </w:pPr>
      <w:r>
        <w:rPr>
          <w:rStyle w:val="VerbatimChar"/>
        </w:rPr>
        <w:t xml:space="preserve">3.2.</w:t>
      </w:r>
      <w:r>
        <w:t xml:space="preserve"> </w:t>
      </w:r>
      <w:r>
        <w:t xml:space="preserve">Corrections for Atmosphere</w:t>
      </w:r>
    </w:p>
    <w:p>
      <w:pPr>
        <w:pStyle w:val="FirstParagraph"/>
      </w:pPr>
      <w:r>
        <w:t xml:space="preserve">Identifier:</w:t>
      </w:r>
      <w:r>
        <w:t xml:space="preserve"> </w:t>
      </w:r>
      <w:r>
        <w:rPr>
          <w:rStyle w:val="VerbatimChar"/>
        </w:rPr>
        <w:t xml:space="preserve">rac-catmos</w:t>
      </w:r>
    </w:p>
    <w:bookmarkStart w:id="153" w:name="threshold-requirements-28"/>
    <w:p>
      <w:pPr>
        <w:pStyle w:val="berschrift5"/>
      </w:pPr>
      <w:r>
        <w:t xml:space="preserve">Threshold requirements:</w:t>
      </w:r>
    </w:p>
    <w:p>
      <w:pPr>
        <w:pStyle w:val="FirstParagraph"/>
      </w:pPr>
      <w:r>
        <w:t xml:space="preserve">Retrieval methods for estimating surface temperature are 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55"/>
    <w:bookmarkEnd w:id="156"/>
    <w:bookmarkStart w:id="160" w:name="sec:rac-emiani"/>
    <w:p>
      <w:pPr>
        <w:pStyle w:val="berschrift4"/>
      </w:pPr>
      <w:r>
        <w:rPr>
          <w:rStyle w:val="VerbatimChar"/>
        </w:rPr>
        <w:t xml:space="preserve">3.3.</w:t>
      </w:r>
      <w:r>
        <w:t xml:space="preserve"> </w:t>
      </w:r>
      <w:r>
        <w:t xml:space="preserve">Adjustments for Emissivity and Anisotropy</w:t>
      </w:r>
    </w:p>
    <w:p>
      <w:pPr>
        <w:pStyle w:val="FirstParagraph"/>
      </w:pPr>
      <w:r>
        <w:t xml:space="preserve">Identifier:</w:t>
      </w:r>
      <w:r>
        <w:t xml:space="preserve"> </w:t>
      </w:r>
      <w:r>
        <w:rPr>
          <w:rStyle w:val="VerbatimChar"/>
        </w:rPr>
        <w:t xml:space="preserve">rac-emiani</w:t>
      </w:r>
    </w:p>
    <w:bookmarkStart w:id="157" w:name="threshold-requirements-29"/>
    <w:p>
      <w:pPr>
        <w:pStyle w:val="berschrift5"/>
      </w:pPr>
      <w:r>
        <w:t xml:space="preserve">Threshold requirements:</w:t>
      </w:r>
    </w:p>
    <w:p>
      <w:pPr>
        <w:pStyle w:val="FirstParagraph"/>
      </w:pPr>
      <w:r>
        <w:t xml:space="preserve">Retrieval methods for estimating surface emissivity per channel are provided.</w:t>
      </w:r>
    </w:p>
    <w:bookmarkEnd w:id="157"/>
    <w:bookmarkStart w:id="158" w:name="goal-requirements-29"/>
    <w:p>
      <w:pPr>
        <w:pStyle w:val="berschrift5"/>
      </w:pPr>
      <w:r>
        <w:t xml:space="preserve">Goal requirements:</w:t>
      </w:r>
    </w:p>
    <w:p>
      <w:pPr>
        <w:pStyle w:val="FirstParagraph"/>
      </w:pPr>
      <w:r>
        <w:t xml:space="preserve">As threshold, but the retrieval method for estimating the total directional emissivity is provided.</w:t>
      </w:r>
    </w:p>
    <w:bookmarkEnd w:id="158"/>
    <w:bookmarkStart w:id="159" w:name="assessment-29"/>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59"/>
    <w:bookmarkEnd w:id="160"/>
    <w:bookmarkStart w:id="164" w:name="sec:rac-muncer-st"/>
    <w:p>
      <w:pPr>
        <w:pStyle w:val="berschrift4"/>
      </w:pPr>
      <w:r>
        <w:rPr>
          <w:rStyle w:val="VerbatimChar"/>
        </w:rPr>
        <w:t xml:space="preserve">3.4.</w:t>
      </w:r>
      <w:r>
        <w:t xml:space="preserve"> </w:t>
      </w:r>
      <w:r>
        <w:t xml:space="preserve">Measurand Uncertainty</w:t>
      </w:r>
    </w:p>
    <w:p>
      <w:pPr>
        <w:pStyle w:val="FirstParagraph"/>
      </w:pPr>
      <w:r>
        <w:t xml:space="preserve">Identifier:</w:t>
      </w:r>
      <w:r>
        <w:t xml:space="preserve"> </w:t>
      </w:r>
      <w:r>
        <w:rPr>
          <w:rStyle w:val="VerbatimChar"/>
        </w:rPr>
        <w:t xml:space="preserve">rac-muncer-st</w:t>
      </w:r>
    </w:p>
    <w:bookmarkStart w:id="161" w:name="threshold-requirements-30"/>
    <w:p>
      <w:pPr>
        <w:pStyle w:val="berschrift5"/>
      </w:pPr>
      <w:r>
        <w:t xml:space="preserve">Threshold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Basic or Good criteria.</w:t>
      </w:r>
    </w:p>
    <w:bookmarkEnd w:id="161"/>
    <w:bookmarkStart w:id="162" w:name="goal-requirements-30"/>
    <w:p>
      <w:pPr>
        <w:pStyle w:val="berschrift5"/>
      </w:pPr>
      <w:r>
        <w:t xml:space="preserve">Goal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Excellent or Ideal criteria.</w:t>
      </w:r>
    </w:p>
    <w:p>
      <w:pPr>
        <w:pStyle w:val="Textkrper"/>
      </w:pPr>
      <w:r>
        <w:t xml:space="preserve">Note:</w:t>
      </w:r>
    </w:p>
    <w:p>
      <w:pPr>
        <w:pStyle w:val="Compact"/>
        <w:numPr>
          <w:ilvl w:val="0"/>
          <w:numId w:val="1041"/>
        </w:numPr>
      </w:pPr>
      <w:r>
        <w:t xml:space="preserve">https://science.nasa.gov/wp-content/uploads/2026/05/joint-optical-guidelines-jul2025-signed.pdf</w:t>
      </w:r>
    </w:p>
    <w:bookmarkEnd w:id="162"/>
    <w:bookmarkStart w:id="163" w:name="assessment-30"/>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63"/>
    <w:bookmarkEnd w:id="164"/>
    <w:bookmarkEnd w:id="165"/>
    <w:bookmarkStart w:id="170"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69" w:name="sec:gcor-geocorr-st"/>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gcor-geocorr-st</w:t>
      </w:r>
    </w:p>
    <w:bookmarkStart w:id="166" w:name="threshold-requirements-31"/>
    <w:p>
      <w:pPr>
        <w:pStyle w:val="berschrift5"/>
      </w:pPr>
      <w:r>
        <w:t xml:space="preserve">Threshold requirements:</w:t>
      </w:r>
    </w:p>
    <w:p>
      <w:pPr>
        <w:pStyle w:val="FirstParagraph"/>
      </w:pPr>
      <w:r>
        <w:t xml:space="preserve">Sub-pixel uncertainty is achieved in relative geolocation, that is, the pixels from the same instrument and platform are consistently located, and in thus comparable, through time.</w:t>
      </w:r>
    </w:p>
    <w:p>
      <w:pPr>
        <w:pStyle w:val="Textkrper"/>
      </w:pPr>
      <w:r>
        <w:t xml:space="preserve">Sub-pixel uncertainty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st">
        <w:r>
          <w:rPr>
            <w:rStyle w:val="Hyperlink"/>
          </w:rPr>
          <w:t xml:space="preserve">General Metadata: Geometric Uncertainty of the Data</w:t>
        </w:r>
      </w:hyperlink>
      <w:r>
        <w:t xml:space="preserve"> </w:t>
      </w:r>
      <w:r>
        <w:t xml:space="preserve">and</w:t>
      </w:r>
      <w:r>
        <w:t xml:space="preserve"> </w:t>
      </w:r>
      <w:hyperlink w:anchor="sec:meta-instru-st">
        <w:r>
          <w:rPr>
            <w:rStyle w:val="Hyperlink"/>
          </w:rPr>
          <w:t xml:space="preserve">General Metadata: Instrument</w:t>
        </w:r>
      </w:hyperlink>
      <w:r>
        <w:t xml:space="preserve">.</w:t>
      </w:r>
    </w:p>
    <w:p>
      <w:pPr>
        <w:pStyle w:val="Textkrper"/>
      </w:pPr>
      <w:r>
        <w:t xml:space="preserve">Notes:</w:t>
      </w:r>
    </w:p>
    <w:p>
      <w:pPr>
        <w:pStyle w:val="Compact"/>
        <w:numPr>
          <w:ilvl w:val="0"/>
          <w:numId w:val="1043"/>
        </w:numPr>
      </w:pPr>
      <w:r>
        <w:t xml:space="preserve">The threshold level will not necessarily enable interoperability between data from different sources as the geometric corrections for each of the sources may differ.</w:t>
      </w:r>
    </w:p>
    <w:p>
      <w:pPr>
        <w:pStyle w:val="Compact"/>
        <w:numPr>
          <w:ilvl w:val="0"/>
          <w:numId w:val="1043"/>
        </w:numPr>
      </w:pPr>
      <w:r>
        <w:t xml:space="preserve">It is useful to note if the sensor is used at its native resolution before geometric correction or that some resampling must be done.</w:t>
      </w:r>
    </w:p>
    <w:bookmarkEnd w:id="166"/>
    <w:bookmarkStart w:id="167" w:name="goal-requirements-3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st">
        <w:r>
          <w:rPr>
            <w:rStyle w:val="Hyperlink"/>
          </w:rPr>
          <w:t xml:space="preserve">General Metadata: Geometric Uncertainty of the Data</w:t>
        </w:r>
      </w:hyperlink>
      <w:r>
        <w:t xml:space="preserve"> </w:t>
      </w:r>
      <w:r>
        <w:t xml:space="preserve">and</w:t>
      </w:r>
      <w:r>
        <w:t xml:space="preserve"> </w:t>
      </w:r>
      <w:hyperlink w:anchor="sec:meta-instru-st">
        <w:r>
          <w:rPr>
            <w:rStyle w:val="Hyperlink"/>
          </w:rPr>
          <w:t xml:space="preserve">General Metadata: Instrument</w:t>
        </w:r>
      </w:hyperlink>
      <w:r>
        <w:t xml:space="preserve">.</w:t>
      </w:r>
    </w:p>
    <w:p>
      <w:pPr>
        <w:pStyle w:val="Textkrper"/>
      </w:pPr>
      <w:r>
        <w:t xml:space="preserve">Note:</w:t>
      </w:r>
    </w:p>
    <w:p>
      <w:pPr>
        <w:pStyle w:val="Compact"/>
        <w:numPr>
          <w:ilvl w:val="0"/>
          <w:numId w:val="1044"/>
        </w:numPr>
      </w:pPr>
      <w:r>
        <w:t xml:space="preserve">This requirement is intended to enable interoperability between imagery from different platforms that meet this level of correction, and with non-image spatial data such as GIS layers and terrain models.</w:t>
      </w:r>
    </w:p>
    <w:bookmarkEnd w:id="167"/>
    <w:bookmarkStart w:id="168" w:name="assessment-31"/>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br w:type="page"/>
      </w:r>
    </w:p>
    <w:bookmarkEnd w:id="168"/>
    <w:bookmarkEnd w:id="169"/>
    <w:bookmarkEnd w:id="170"/>
    <w:bookmarkEnd w:id="171"/>
    <w:bookmarkStart w:id="176" w:name="summary-self-assessment-table"/>
    <w:p>
      <w:pPr>
        <w:pStyle w:val="berschrift2"/>
      </w:pPr>
      <w:r>
        <w:t xml:space="preserve">Summary Self-Assessment Table</w:t>
      </w:r>
    </w:p>
    <w:bookmarkStart w:id="172"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meta-trace-st</w:t>
            </w:r>
          </w:p>
        </w:tc>
        <w:tc>
          <w:tcPr/>
          <w:p>
            <w:pPr>
              <w:pStyle w:val="Compact"/>
            </w:pPr>
            <w:r>
              <w:t xml:space="preserve">Metrological Traceability of the Measurand to SI</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meta-memare-st</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meta-time-st</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meta-geocorm-st</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meta-geounc-st</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meta-instru-st</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meta-specband-st</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meta-sencal-st</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meta-measurunc</w:t>
            </w:r>
          </w:p>
        </w:tc>
        <w:tc>
          <w:tcPr/>
          <w:p>
            <w:pPr>
              <w:pStyle w:val="Compact"/>
            </w:pPr>
            <w:r>
              <w:t xml:space="preserve">Measurand Uncertainty</w:t>
            </w:r>
          </w:p>
        </w:tc>
        <w:tc>
          <w:tcPr/>
          <w:p>
            <w:pPr>
              <w:pStyle w:val="Compact"/>
            </w:pPr>
          </w:p>
        </w:tc>
        <w:tc>
          <w:tcPr/>
          <w:p>
            <w:pPr>
              <w:pStyle w:val="Compact"/>
            </w:pPr>
          </w:p>
        </w:tc>
      </w:tr>
      <w:tr>
        <w:tc>
          <w:tcPr/>
          <w:p>
            <w:pPr>
              <w:pStyle w:val="Compact"/>
            </w:pPr>
            <w:r>
              <w:rPr>
                <w:rStyle w:val="VerbatimChar"/>
              </w:rPr>
              <w:t xml:space="preserve">meta-measurenc</w:t>
            </w:r>
          </w:p>
        </w:tc>
        <w:tc>
          <w:tcPr/>
          <w:p>
            <w:pPr>
              <w:pStyle w:val="Compact"/>
            </w:pPr>
            <w:r>
              <w:t xml:space="preserve">Measurand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meta-malgos-st</w:t>
            </w:r>
          </w:p>
        </w:tc>
        <w:tc>
          <w:tcPr/>
          <w:p>
            <w:pPr>
              <w:pStyle w:val="Compact"/>
            </w:pPr>
            <w:r>
              <w:t xml:space="preserve">Algorithms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meta-auxdat-st</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meta-proprov-st</w:t>
            </w:r>
          </w:p>
        </w:tc>
        <w:tc>
          <w:tcPr/>
          <w:p>
            <w:pPr>
              <w:pStyle w:val="Compact"/>
            </w:pPr>
            <w:r>
              <w:t xml:space="preserve">Processing Chain Provenance</w:t>
            </w:r>
          </w:p>
        </w:tc>
        <w:tc>
          <w:tcPr/>
          <w:p>
            <w:pPr>
              <w:pStyle w:val="Compact"/>
            </w:pPr>
          </w:p>
        </w:tc>
        <w:tc>
          <w:tcPr/>
          <w:p>
            <w:pPr>
              <w:pStyle w:val="Compact"/>
            </w:pPr>
          </w:p>
        </w:tc>
      </w:tr>
      <w:tr>
        <w:tc>
          <w:tcPr/>
          <w:p>
            <w:pPr>
              <w:pStyle w:val="Compact"/>
            </w:pPr>
            <w:r>
              <w:rPr>
                <w:rStyle w:val="VerbatimChar"/>
              </w:rPr>
              <w:t xml:space="preserve">meta-daccess-st</w:t>
            </w:r>
          </w:p>
        </w:tc>
        <w:tc>
          <w:tcPr/>
          <w:p>
            <w:pPr>
              <w:pStyle w:val="Compact"/>
            </w:pPr>
            <w:r>
              <w:t xml:space="preserve">Data Access</w:t>
            </w:r>
          </w:p>
        </w:tc>
        <w:tc>
          <w:tcPr/>
          <w:p>
            <w:pPr>
              <w:pStyle w:val="Compact"/>
            </w:pPr>
          </w:p>
        </w:tc>
        <w:tc>
          <w:tcPr/>
          <w:p>
            <w:pPr>
              <w:pStyle w:val="Compact"/>
            </w:pP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172"/>
    <w:bookmarkStart w:id="173"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pxl-pinodat-st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pxl-pincot-st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pxl-picloud-st</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pxl-picloudsh-st</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pxl-surf-st</w:t>
            </w:r>
          </w:p>
        </w:tc>
        <w:tc>
          <w:tcPr/>
          <w:p>
            <w:pPr>
              <w:pStyle w:val="Compact"/>
            </w:pPr>
            <w:r>
              <w:t xml:space="preserve">Surface</w:t>
            </w:r>
          </w:p>
        </w:tc>
        <w:tc>
          <w:tcPr/>
          <w:p>
            <w:pPr>
              <w:pStyle w:val="Compact"/>
            </w:pP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pxl-terrain-st</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bl>
    <w:bookmarkEnd w:id="173"/>
    <w:bookmarkStart w:id="174"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rac-measur-st</w:t>
            </w:r>
          </w:p>
        </w:tc>
        <w:tc>
          <w:tcPr/>
          <w:p>
            <w:pPr>
              <w:pStyle w:val="Compact"/>
            </w:pPr>
            <w:r>
              <w:t xml:space="preserve">Measurand</w:t>
            </w:r>
          </w:p>
        </w:tc>
        <w:tc>
          <w:tcPr/>
          <w:p>
            <w:pPr>
              <w:pStyle w:val="Compact"/>
            </w:pPr>
          </w:p>
        </w:tc>
        <w:tc>
          <w:tcPr/>
          <w:p>
            <w:pPr>
              <w:pStyle w:val="Compact"/>
            </w:pPr>
          </w:p>
        </w:tc>
      </w:tr>
      <w:tr>
        <w:tc>
          <w:tcPr/>
          <w:p>
            <w:pPr>
              <w:pStyle w:val="Compact"/>
            </w:pPr>
            <w:r>
              <w:rPr>
                <w:rStyle w:val="VerbatimChar"/>
              </w:rPr>
              <w:t xml:space="preserve">rac-catmos</w:t>
            </w:r>
          </w:p>
        </w:tc>
        <w:tc>
          <w:tcPr/>
          <w:p>
            <w:pPr>
              <w:pStyle w:val="Compact"/>
            </w:pPr>
            <w:r>
              <w:t xml:space="preserve">Corrections for Atmosphere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rac-emiani</w:t>
            </w:r>
          </w:p>
        </w:tc>
        <w:tc>
          <w:tcPr/>
          <w:p>
            <w:pPr>
              <w:pStyle w:val="Compact"/>
            </w:pPr>
            <w:r>
              <w:t xml:space="preserve">Adjustments for Emissivity and Anisotropy</w:t>
            </w:r>
          </w:p>
        </w:tc>
        <w:tc>
          <w:tcPr/>
          <w:p>
            <w:pPr>
              <w:pStyle w:val="Compact"/>
            </w:pPr>
          </w:p>
        </w:tc>
        <w:tc>
          <w:tcPr/>
          <w:p>
            <w:pPr>
              <w:pStyle w:val="Compact"/>
            </w:pPr>
          </w:p>
        </w:tc>
      </w:tr>
      <w:tr>
        <w:tc>
          <w:tcPr/>
          <w:p>
            <w:pPr>
              <w:pStyle w:val="Compact"/>
            </w:pPr>
            <w:r>
              <w:rPr>
                <w:rStyle w:val="VerbatimChar"/>
              </w:rPr>
              <w:t xml:space="preserve">rac-muncer-st</w:t>
            </w:r>
          </w:p>
        </w:tc>
        <w:tc>
          <w:tcPr/>
          <w:p>
            <w:pPr>
              <w:pStyle w:val="Compact"/>
            </w:pPr>
            <w:r>
              <w:t xml:space="preserve">Measurand Uncertainty</w:t>
            </w:r>
          </w:p>
        </w:tc>
        <w:tc>
          <w:tcPr/>
          <w:p>
            <w:pPr>
              <w:pStyle w:val="Compact"/>
            </w:pPr>
          </w:p>
        </w:tc>
        <w:tc>
          <w:tcPr/>
          <w:p>
            <w:pPr>
              <w:pStyle w:val="Compact"/>
            </w:pPr>
          </w:p>
        </w:tc>
      </w:tr>
    </w:tbl>
    <w:bookmarkEnd w:id="174"/>
    <w:bookmarkStart w:id="1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gcor-geocorr-st</w:t>
            </w:r>
          </w:p>
        </w:tc>
        <w:tc>
          <w:tcPr/>
          <w:p>
            <w:pPr>
              <w:pStyle w:val="Compact"/>
            </w:pPr>
            <w:r>
              <w:t xml:space="preserve">Geometric Correction</w:t>
            </w:r>
          </w:p>
        </w:tc>
        <w:tc>
          <w:tcPr/>
          <w:p>
            <w:pPr>
              <w:pStyle w:val="Compact"/>
            </w:pPr>
          </w:p>
        </w:tc>
        <w:tc>
          <w:tcPr/>
          <w:p>
            <w:pPr>
              <w:pStyle w:val="Compact"/>
            </w:pPr>
          </w:p>
        </w:tc>
      </w:tr>
    </w:tbl>
    <w:p>
      <w:r>
        <w:br w:type="page"/>
      </w:r>
    </w:p>
    <w:bookmarkEnd w:id="175"/>
    <w:bookmarkEnd w:id="176"/>
    <w:bookmarkStart w:id="181"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77"/>
    <w:bookmarkStart w:id="1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46"/>
        </w:numPr>
      </w:pPr>
      <w:r>
        <w:t xml:space="preserve">that product has been assessed as meeting CEOS-ARD requirements by the agency responsible for production and distribution of the product, and</w:t>
      </w:r>
    </w:p>
    <w:p>
      <w:pPr>
        <w:pStyle w:val="Compact"/>
        <w:numPr>
          <w:ilvl w:val="0"/>
          <w:numId w:val="1046"/>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79"/>
    <w:bookmarkStart w:id="1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80"/>
    <w:bookmarkEnd w:id="181"/>
    <w:bookmarkStart w:id="188" w:name="references"/>
    <w:p>
      <w:pPr>
        <w:pStyle w:val="berschrift2"/>
      </w:pPr>
      <w:r>
        <w:t xml:space="preserve">References</w:t>
      </w:r>
    </w:p>
    <w:bookmarkStart w:id="187" w:name="refs"/>
    <w:bookmarkStart w:id="183" w:name="ref-cook2014"/>
    <w:p>
      <w:pPr>
        <w:pStyle w:val="Literaturverzeichnis"/>
      </w:pPr>
      <w:r>
        <w:t xml:space="preserve">Cook, Monica, John R. Schott, John Mandel, and Nina Raqueno. 2014.</w:t>
      </w:r>
      <w:r>
        <w:t xml:space="preserve"> </w:t>
      </w:r>
      <w:r>
        <w:t xml:space="preserve">“Development of an Operational Calibration Methodology for the Landsat Thermal Data Archive and Initial Testing of the Atmospheric Compensation Component of a Land Surface Temperature (LST) Product from the Archive.”</w:t>
      </w:r>
      <w:r>
        <w:t xml:space="preserve"> </w:t>
      </w:r>
      <w:r>
        <w:rPr>
          <w:i/>
          <w:iCs/>
        </w:rPr>
        <w:t xml:space="preserve">Remote Sensing</w:t>
      </w:r>
      <w:r>
        <w:t xml:space="preserve"> </w:t>
      </w:r>
      <w:r>
        <w:t xml:space="preserve">6 (11): 11244–66.</w:t>
      </w:r>
      <w:r>
        <w:t xml:space="preserve"> </w:t>
      </w:r>
      <w:hyperlink r:id="rId182">
        <w:r>
          <w:rPr>
            <w:rStyle w:val="Hyperlink"/>
          </w:rPr>
          <w:t xml:space="preserve">https://doi.org/10.3390/rs61111244</w:t>
        </w:r>
      </w:hyperlink>
      <w:r>
        <w:t xml:space="preserve">.</w:t>
      </w:r>
    </w:p>
    <w:bookmarkEnd w:id="183"/>
    <w:bookmarkStart w:id="184"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84"/>
    <w:bookmarkStart w:id="186" w:name="ref-li2013"/>
    <w:p>
      <w:pPr>
        <w:pStyle w:val="Literaturverzeichnis"/>
      </w:pPr>
      <w:r>
        <w:t xml:space="preserve">Li, Zhao-Liang, Bo-Hui Tang, Hua Wu, et al. 2013.</w:t>
      </w:r>
      <w:r>
        <w:t xml:space="preserve"> </w:t>
      </w:r>
      <w:r>
        <w:t xml:space="preserve">“Satellite-Derived Land Surface Temperature: Current Status and Perspectives.”</w:t>
      </w:r>
      <w:r>
        <w:t xml:space="preserve"> </w:t>
      </w:r>
      <w:r>
        <w:rPr>
          <w:i/>
          <w:iCs/>
        </w:rPr>
        <w:t xml:space="preserve">Remote Sensing of Environment</w:t>
      </w:r>
      <w:r>
        <w:t xml:space="preserve"> </w:t>
      </w:r>
      <w:r>
        <w:t xml:space="preserve">131: 14–37. https://doi.org/</w:t>
      </w:r>
      <w:hyperlink r:id="rId185">
        <w:r>
          <w:rPr>
            <w:rStyle w:val="Hyperlink"/>
          </w:rPr>
          <w:t xml:space="preserve">https://doi.org/10.1016/j.rse.2012.12.008</w:t>
        </w:r>
      </w:hyperlink>
      <w:r>
        <w:t xml:space="preserve">.</w:t>
      </w:r>
    </w:p>
    <w:bookmarkEnd w:id="186"/>
    <w:bookmarkEnd w:id="187"/>
    <w:bookmarkEnd w:id="188"/>
    <w:bookmarkEnd w:id="18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78" Target="https://ceos.org/ard/files/CEOS_ARD_Governance_Framework_18-October-2021.pdf" TargetMode="External" /><Relationship Type="http://schemas.openxmlformats.org/officeDocument/2006/relationships/hyperlink" Id="rId75" Target="https://database.eohandbook.com" TargetMode="External" /><Relationship Type="http://schemas.openxmlformats.org/officeDocument/2006/relationships/hyperlink" Id="rId185" Target="https://doi.org/10.1016/j.rse.2012.12.008" TargetMode="External" /><Relationship Type="http://schemas.openxmlformats.org/officeDocument/2006/relationships/hyperlink" Id="rId182" Target="https://doi.org/10.3390/rs61111244"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78" Target="https://ceos.org/ard/files/CEOS_ARD_Governance_Framework_18-October-2021.pdf" TargetMode="External" /><Relationship Type="http://schemas.openxmlformats.org/officeDocument/2006/relationships/hyperlink" Id="rId75" Target="https://database.eohandbook.com" TargetMode="External" /><Relationship Type="http://schemas.openxmlformats.org/officeDocument/2006/relationships/hyperlink" Id="rId185" Target="https://doi.org/10.1016/j.rse.2012.12.008" TargetMode="External" /><Relationship Type="http://schemas.openxmlformats.org/officeDocument/2006/relationships/hyperlink" Id="rId182" Target="https://doi.org/10.3390/rs61111244"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Temperature - Version 6.0.0-draft</dc:title>
  <dc:creator/>
  <dc:language>en</dc:language>
  <cp:keywords/>
  <dcterms:created xsi:type="dcterms:W3CDTF">2026-09-15T18:50:54Z</dcterms:created>
  <dcterms:modified xsi:type="dcterms:W3CDTF">2026-09-15T18:50:54Z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/home/runner/work/ceos-ard/ceos-ard/build/ST.bib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