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82.png" ContentType="image/png"/>
  <Override PartName="/word/media/rId278.png" ContentType="image/png"/>
  <Override PartName="/word/media/rId286.png" ContentType="image/png"/>
  <Override PartName="/word/media/rId298.png" ContentType="image/png"/>
  <Override PartName="/word/media/rId290.png" ContentType="image/png"/>
  <Override PartName="/word/media/rId29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04" w:name="X405d8e65832ac294d4126c2e16ac6a514f2a68e"/>
    <w:p>
      <w:pPr>
        <w:pStyle w:val="berschrift1"/>
      </w:pPr>
      <w:r>
        <w:t xml:space="preserve">CEOS-ARD - Synthetic Aperture Radar - Ocean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Ocean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Ocean Radar Backscatter (ORB)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Ocean Radar Backscatter (ORB)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Ocean Radar Backscatter (ORB) product specification describes products that have been projected on a geoid and are provided in the Sigma-Nought (</w:t>
      </w:r>
      <m:oMath>
        <m:sSup>
          <m:e>
            <m:r>
              <m:t>σ</m:t>
            </m:r>
          </m:e>
          <m:sup>
            <m:r>
              <m:t>0</m:t>
            </m:r>
          </m:sup>
        </m:sSup>
      </m:oMath>
      <w:r>
        <w:t xml:space="preserve">) backscatter convention, which is recommended for most ocean applications.</w:t>
      </w:r>
      <w:r>
        <w:t xml:space="preserve"> </w:t>
      </w:r>
      <w:r>
        <w:t xml:space="preserve">Backscatter may be calibrated to the ellipsoid (</w:t>
      </w:r>
      <m:oMath>
        <m:sSubSup>
          <m:e>
            <m:r>
              <m:t>σ</m:t>
            </m:r>
          </m:e>
          <m:sub>
            <m:r>
              <m:t>E</m:t>
            </m:r>
          </m:sub>
          <m:sup>
            <m:r>
              <m:t>0</m:t>
            </m:r>
          </m:sup>
        </m:sSubSup>
      </m:oMath>
      <w:r>
        <w:t xml:space="preserve">) or radiometrically terrain corrected (</w:t>
      </w:r>
      <m:oMath>
        <m:sSubSup>
          <m:e>
            <m:r>
              <m:t>σ</m:t>
            </m:r>
          </m:e>
          <m:sub>
            <m:r>
              <m:t>T</m:t>
            </m:r>
          </m:sub>
          <m:sup>
            <m:r>
              <m:t>0</m:t>
            </m:r>
          </m:sup>
        </m:sSubSup>
      </m:oMath>
      <w:r>
        <w:t xml:space="preserve">) prior to geometric terrain correction.</w:t>
      </w:r>
      <w:r>
        <w:t xml:space="preserve"> </w:t>
      </w:r>
      <w:r>
        <w:t xml:space="preserve">As the basic ORB product contains backscatter values only, it</w:t>
      </w:r>
      <w:r>
        <w:t xml:space="preserve"> </w:t>
      </w:r>
      <w:r>
        <w:rPr>
          <w:i/>
          <w:iCs/>
        </w:rPr>
        <w:t xml:space="preserve">cannot</w:t>
      </w:r>
      <w:r>
        <w:t xml:space="preserve"> </w:t>
      </w:r>
      <w:r>
        <w:t xml:space="preserve">be directly used for SAR polarimetry or interferometric applications that require local phase estimates.</w:t>
      </w:r>
      <w:r>
        <w:t xml:space="preserve"> </w:t>
      </w:r>
      <w:r>
        <w:t xml:space="preserve">Nonetheless, an advanced ORB product could include the upper diagonal of the polarimetric</w:t>
      </w:r>
      <w:r>
        <w:t xml:space="preserve"> </w:t>
      </w:r>
      <m:oMath>
        <m:sSup>
          <m:e>
            <m:r>
              <m:t>σ</m:t>
            </m:r>
          </m:e>
          <m:sup>
            <m:r>
              <m:t>0</m:t>
            </m:r>
          </m:sup>
        </m:sSup>
      </m:oMath>
      <w:r>
        <w:t xml:space="preserve"> </w:t>
      </w:r>
      <w:r>
        <w:t xml:space="preserve">covariance matrix for enabling advanced polarimetric analysis (similar to the POL product).</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2"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2"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1" w:name="sec:prd-lookdip"/>
    <w:p>
      <w:pPr>
        <w:pStyle w:val="berschrift4"/>
      </w:pPr>
      <w:r>
        <w:rPr>
          <w:rStyle w:val="VerbatimChar"/>
        </w:rPr>
        <w:t xml:space="preserve">3.12.</w:t>
      </w:r>
      <w:r>
        <w:t xml:space="preserve"> </w:t>
      </w:r>
      <w:r>
        <w:t xml:space="preserve">Look Direction Polynomials</w:t>
      </w:r>
    </w:p>
    <w:p>
      <w:pPr>
        <w:pStyle w:val="FirstParagraph"/>
      </w:pPr>
      <w:r>
        <w:t xml:space="preserve">Identifier:</w:t>
      </w:r>
      <w:r>
        <w:t xml:space="preserve"> </w:t>
      </w:r>
      <w:r>
        <w:rPr>
          <w:rStyle w:val="VerbatimChar"/>
        </w:rPr>
        <w:t xml:space="preserve">prd-lookdip</w:t>
      </w:r>
    </w:p>
    <w:bookmarkStart w:id="158" w:name="threshold-requirements-29"/>
    <w:p>
      <w:pPr>
        <w:pStyle w:val="berschrift5"/>
      </w:pPr>
      <w:r>
        <w:t xml:space="preserve">Threshold requirements:</w:t>
      </w:r>
    </w:p>
    <w:p>
      <w:pPr>
        <w:pStyle w:val="FirstParagraph"/>
      </w:pPr>
      <w:r>
        <w:t xml:space="preserve">In case the Look Direction Image (see</w:t>
      </w:r>
      <w:r>
        <w:t xml:space="preserve"> </w:t>
      </w:r>
      <w:hyperlink w:anchor="sec:pxl-lookdiri">
        <w:r>
          <w:rPr>
            <w:rStyle w:val="Hyperlink"/>
          </w:rPr>
          <w:t xml:space="preserve">Per-Pixel Metadata: Look Direction Image</w:t>
        </w:r>
      </w:hyperlink>
      <w:r>
        <w:t xml:space="preserve">) is</w:t>
      </w:r>
      <w:r>
        <w:t xml:space="preserve"> </w:t>
      </w:r>
      <w:r>
        <w:rPr>
          <w:b/>
          <w:bCs/>
        </w:rPr>
        <w:t xml:space="preserve">not</w:t>
      </w:r>
      <w:r>
        <w:t xml:space="preserve"> </w:t>
      </w:r>
      <w:r>
        <w:t xml:space="preserve">provided, then a list of the polynomial coefficients are necessary to reconstruct the look direction angle</w:t>
      </w:r>
      <w:r>
        <w:rPr>
          <w:rStyle w:val="Funotenzeichen"/>
        </w:rPr>
        <w:footnoteReference w:id="157"/>
      </w:r>
      <w:r>
        <w:t xml:space="preserve">, together with an estimate of the added error from use of polynomial vs. per-pixel more accurate values, shall be provided.</w:t>
      </w:r>
    </w:p>
    <w:p>
      <w:pPr>
        <w:pStyle w:val="Textkrper"/>
      </w:pPr>
      <w:r>
        <w:t xml:space="preserve">Example polynomial:</w:t>
      </w:r>
    </w:p>
    <w:p>
      <w:pPr>
        <w:pStyle w:val="Textkrper"/>
      </w:pPr>
      <m:oMathPara>
        <m:oMathParaPr>
          <m:jc m:val="center"/>
        </m:oMathParaPr>
        <m:oMath>
          <m:r>
            <m:rPr>
              <m:nor/>
              <m:sty m:val="p"/>
            </m:rPr>
            <m:t>LookDir</m:t>
          </m:r>
          <m:r>
            <m:rPr>
              <m:sty m:val="p"/>
            </m:rPr>
            <m:t>=</m:t>
          </m:r>
          <m:sSub>
            <m:e>
              <m:r>
                <m:t>a</m:t>
              </m:r>
            </m:e>
            <m:sub>
              <m:r>
                <m:t>1</m:t>
              </m:r>
            </m:sub>
          </m:sSub>
          <m:sSup>
            <m:e>
              <m:r>
                <m:rPr>
                  <m:nor/>
                  <m:sty m:val="p"/>
                </m:rPr>
                <m:t>Lat</m:t>
              </m:r>
            </m:e>
            <m:sup>
              <m:r>
                <m:t>2</m:t>
              </m:r>
            </m:sup>
          </m:sSup>
          <m:r>
            <m:rPr>
              <m:sty m:val="p"/>
            </m:rPr>
            <m:t>+</m:t>
          </m:r>
          <m:sSub>
            <m:e>
              <m:r>
                <m:t>a</m:t>
              </m:r>
            </m:e>
            <m:sub>
              <m:r>
                <m:t>2</m:t>
              </m:r>
            </m:sub>
          </m:sSub>
          <m:sSup>
            <m:e>
              <m:r>
                <m:rPr>
                  <m:nor/>
                  <m:sty m:val="p"/>
                </m:rPr>
                <m:t>Lon</m:t>
              </m:r>
            </m:e>
            <m:sup>
              <m:r>
                <m:t>2</m:t>
              </m:r>
            </m:sup>
          </m:sSup>
          <m:r>
            <m:rPr>
              <m:sty m:val="p"/>
            </m:rPr>
            <m:t>+</m:t>
          </m:r>
          <m:sSub>
            <m:e>
              <m:r>
                <m:t>a</m:t>
              </m:r>
            </m:e>
            <m:sub>
              <m:r>
                <m:t>3</m:t>
              </m:r>
            </m:sub>
          </m:sSub>
          <m:r>
            <m:rPr>
              <m:nor/>
              <m:sty m:val="p"/>
            </m:rPr>
            <m:t>LatLon</m:t>
          </m:r>
          <m:r>
            <m:rPr>
              <m:sty m:val="p"/>
            </m:rPr>
            <m:t>+</m:t>
          </m:r>
          <m:sSub>
            <m:e>
              <m:r>
                <m:t>a</m:t>
              </m:r>
            </m:e>
            <m:sub>
              <m:r>
                <m:t>4</m:t>
              </m:r>
            </m:sub>
          </m:sSub>
          <m:r>
            <m:rPr>
              <m:nor/>
              <m:sty m:val="p"/>
            </m:rPr>
            <m:t>Lat</m:t>
          </m:r>
          <m:r>
            <m:rPr>
              <m:sty m:val="p"/>
            </m:rPr>
            <m:t>+</m:t>
          </m:r>
          <m:sSub>
            <m:e>
              <m:r>
                <m:t>a</m:t>
              </m:r>
            </m:e>
            <m:sub>
              <m:r>
                <m:t>5</m:t>
              </m:r>
            </m:sub>
          </m:sSub>
          <m:r>
            <m:rPr>
              <m:nor/>
              <m:sty m:val="p"/>
            </m:rPr>
            <m:t>Lon</m:t>
          </m:r>
          <m:r>
            <m:rPr>
              <m:sty m:val="p"/>
            </m:rPr>
            <m:t>+</m:t>
          </m:r>
          <m:sSub>
            <m:e>
              <m:r>
                <m:t>a</m:t>
              </m:r>
            </m:e>
            <m:sub>
              <m:r>
                <m:t>6</m:t>
              </m:r>
            </m:sub>
          </m:sSub>
        </m:oMath>
      </m:oMathPara>
    </w:p>
    <w:p>
      <w:pPr>
        <w:pStyle w:val="FirstParagraph"/>
      </w:pPr>
      <w:r>
        <w:t xml:space="preserve">where:</w:t>
      </w:r>
    </w:p>
    <w:p>
      <w:pPr>
        <w:pStyle w:val="Compact"/>
        <w:numPr>
          <w:ilvl w:val="0"/>
          <w:numId w:val="1049"/>
        </w:numPr>
      </w:pPr>
      <m:oMath>
        <m:sSub>
          <m:e>
            <m:r>
              <m:t>a</m:t>
            </m:r>
          </m:e>
          <m:sub>
            <m:r>
              <m:t>i</m:t>
            </m:r>
          </m:sub>
        </m:sSub>
      </m:oMath>
      <w:r>
        <w:t xml:space="preserve"> </w:t>
      </w:r>
      <w:r>
        <w:t xml:space="preserve">= polynomial coefficients</w:t>
      </w:r>
    </w:p>
    <w:p>
      <w:pPr>
        <w:pStyle w:val="Compact"/>
        <w:numPr>
          <w:ilvl w:val="0"/>
          <w:numId w:val="1049"/>
        </w:numPr>
      </w:pPr>
      <m:oMath>
        <m:r>
          <m:rPr>
            <m:nor/>
            <m:sty m:val="p"/>
          </m:rPr>
          <m:t>Lat</m:t>
        </m:r>
      </m:oMath>
      <w:r>
        <w:t xml:space="preserve"> </w:t>
      </w:r>
      <w:r>
        <w:t xml:space="preserve">= latitude</w:t>
      </w:r>
      <w:r>
        <w:br/>
      </w:r>
    </w:p>
    <w:p>
      <w:pPr>
        <w:pStyle w:val="Compact"/>
        <w:numPr>
          <w:ilvl w:val="0"/>
          <w:numId w:val="1049"/>
        </w:numPr>
      </w:pPr>
      <m:oMath>
        <m:r>
          <m:rPr>
            <m:nor/>
            <m:sty m:val="p"/>
          </m:rPr>
          <m:t>Lon</m:t>
        </m:r>
      </m:oMath>
      <w:r>
        <w:t xml:space="preserve"> </w:t>
      </w:r>
      <w:r>
        <w:t xml:space="preserve">= longitude</w:t>
      </w:r>
    </w:p>
    <w:p>
      <w:pPr>
        <w:pStyle w:val="FirstParagraph"/>
      </w:pPr>
      <w:r>
        <w:t xml:space="preserve">Lat and Lon are the related coordinates in the product map units (m, deg, arcsec).</w:t>
      </w:r>
    </w:p>
    <w:bookmarkEnd w:id="158"/>
    <w:bookmarkStart w:id="159" w:name="goal-requirements-29"/>
    <w:p>
      <w:pPr>
        <w:pStyle w:val="berschrift5"/>
      </w:pPr>
      <w:r>
        <w:t xml:space="preserve">Goal requirements:</w:t>
      </w:r>
    </w:p>
    <w:p>
      <w:pPr>
        <w:pStyle w:val="FirstParagraph"/>
      </w:pPr>
      <w:r>
        <w:t xml:space="preserve">As threshold.</w:t>
      </w:r>
      <w:r>
        <w:t xml:space="preserve"> </w:t>
      </w:r>
    </w:p>
    <w:bookmarkEnd w:id="159"/>
    <w:bookmarkStart w:id="160" w:name="assessment-29"/>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bookmarkEnd w:id="160"/>
    <w:bookmarkEnd w:id="161"/>
    <w:bookmarkEnd w:id="162"/>
    <w:bookmarkStart w:id="199"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6"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3"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3"/>
    <w:bookmarkStart w:id="164"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4"/>
    <w:bookmarkStart w:id="165" w:name="assessment-30"/>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5"/>
    <w:bookmarkEnd w:id="166"/>
    <w:bookmarkStart w:id="170"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7" w:name="threshold-requirements-31"/>
    <w:p>
      <w:pPr>
        <w:pStyle w:val="berschrift5"/>
      </w:pPr>
      <w:r>
        <w:t xml:space="preserve">Threshold requirements:</w:t>
      </w:r>
    </w:p>
    <w:p>
      <w:pPr>
        <w:pStyle w:val="FirstParagraph"/>
      </w:pPr>
      <w:r>
        <w:t xml:space="preserve">Mask image indicating:</w:t>
      </w:r>
    </w:p>
    <w:p>
      <w:pPr>
        <w:pStyle w:val="Compact"/>
        <w:numPr>
          <w:ilvl w:val="0"/>
          <w:numId w:val="1052"/>
        </w:numPr>
      </w:pPr>
      <w:r>
        <w:t xml:space="preserve">Valid data</w:t>
      </w:r>
    </w:p>
    <w:p>
      <w:pPr>
        <w:pStyle w:val="Compact"/>
        <w:numPr>
          <w:ilvl w:val="0"/>
          <w:numId w:val="1052"/>
        </w:numPr>
      </w:pPr>
      <w:r>
        <w:t xml:space="preserve">Invalid data</w:t>
      </w:r>
    </w:p>
    <w:p>
      <w:pPr>
        <w:pStyle w:val="Compact"/>
        <w:numPr>
          <w:ilvl w:val="0"/>
          <w:numId w:val="1052"/>
        </w:numPr>
      </w:pPr>
      <w:r>
        <w:t xml:space="preserve">No data</w:t>
      </w:r>
    </w:p>
    <w:p>
      <w:pPr>
        <w:pStyle w:val="FirstParagraph"/>
      </w:pPr>
      <w:r>
        <w:t xml:space="preserve">File format specifications/contents provided in metadata:</w:t>
      </w:r>
    </w:p>
    <w:p>
      <w:pPr>
        <w:pStyle w:val="Compact"/>
        <w:numPr>
          <w:ilvl w:val="0"/>
          <w:numId w:val="1053"/>
        </w:numPr>
      </w:pPr>
      <w:r>
        <w:t xml:space="preserve">Sample Type (Mask)</w:t>
      </w:r>
    </w:p>
    <w:p>
      <w:pPr>
        <w:pStyle w:val="Compact"/>
        <w:numPr>
          <w:ilvl w:val="0"/>
          <w:numId w:val="1053"/>
        </w:numPr>
      </w:pPr>
      <w:r>
        <w:t xml:space="preserve">Data Format (GeoTIFF, HDF5, NetCDF, …)</w:t>
      </w:r>
    </w:p>
    <w:p>
      <w:pPr>
        <w:pStyle w:val="Compact"/>
        <w:numPr>
          <w:ilvl w:val="0"/>
          <w:numId w:val="1053"/>
        </w:numPr>
      </w:pPr>
      <w:r>
        <w:t xml:space="preserve">Data Type (Int, …)</w:t>
      </w:r>
    </w:p>
    <w:p>
      <w:pPr>
        <w:pStyle w:val="Compact"/>
        <w:numPr>
          <w:ilvl w:val="0"/>
          <w:numId w:val="1053"/>
        </w:numPr>
      </w:pPr>
      <w:r>
        <w:t xml:space="preserve">Bits per Sample</w:t>
      </w:r>
    </w:p>
    <w:p>
      <w:pPr>
        <w:pStyle w:val="Compact"/>
        <w:numPr>
          <w:ilvl w:val="0"/>
          <w:numId w:val="1053"/>
        </w:numPr>
      </w:pPr>
      <w:r>
        <w:t xml:space="preserve">Byte Order</w:t>
      </w:r>
    </w:p>
    <w:p>
      <w:pPr>
        <w:pStyle w:val="Compact"/>
        <w:numPr>
          <w:ilvl w:val="0"/>
          <w:numId w:val="1053"/>
        </w:numPr>
      </w:pPr>
      <w:r>
        <w:t xml:space="preserve">Bit Value Representation</w:t>
      </w:r>
    </w:p>
    <w:p>
      <w:pPr>
        <w:pStyle w:val="FirstParagraph"/>
      </w:pPr>
      <w:r>
        <w:t xml:space="preserve">Notes:</w:t>
      </w:r>
    </w:p>
    <w:p>
      <w:pPr>
        <w:pStyle w:val="Compact"/>
        <w:numPr>
          <w:ilvl w:val="0"/>
          <w:numId w:val="1054"/>
        </w:numPr>
      </w:pPr>
      <w:r>
        <w:t xml:space="preserve">All bit value representations included in the Data Mask Image should be indicated in the metadata.</w:t>
      </w:r>
    </w:p>
    <w:p>
      <w:pPr>
        <w:pStyle w:val="Compact"/>
        <w:numPr>
          <w:ilvl w:val="0"/>
          <w:numId w:val="1054"/>
        </w:numPr>
      </w:pPr>
      <w:r>
        <w:t xml:space="preserve">For CEOS-ARD products created from repeat-pass acquisitions, with narrow orbital tube radius, a single static per pixel metadata file can be provided as a URL address of that unique metadata file.</w:t>
      </w:r>
    </w:p>
    <w:bookmarkEnd w:id="167"/>
    <w:bookmarkStart w:id="168"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5"/>
        </w:numPr>
      </w:pPr>
      <w:r>
        <w:t xml:space="preserve">Layover (masked as invalid data in threshold)</w:t>
      </w:r>
    </w:p>
    <w:p>
      <w:pPr>
        <w:pStyle w:val="Compact"/>
        <w:numPr>
          <w:ilvl w:val="0"/>
          <w:numId w:val="1055"/>
        </w:numPr>
      </w:pPr>
      <w:r>
        <w:t xml:space="preserve">Radar shadow (masked as invalid data in threshold)</w:t>
      </w:r>
    </w:p>
    <w:p>
      <w:pPr>
        <w:pStyle w:val="Compact"/>
        <w:numPr>
          <w:ilvl w:val="0"/>
          <w:numId w:val="1055"/>
        </w:numPr>
      </w:pPr>
      <w:r>
        <w:t xml:space="preserve">Ocean water</w:t>
      </w:r>
    </w:p>
    <w:p>
      <w:pPr>
        <w:pStyle w:val="Compact"/>
        <w:numPr>
          <w:ilvl w:val="0"/>
          <w:numId w:val="1055"/>
        </w:numPr>
      </w:pPr>
      <w:r>
        <w:t xml:space="preserve">Land (recommended for ORB)</w:t>
      </w:r>
    </w:p>
    <w:p>
      <w:pPr>
        <w:pStyle w:val="Compact"/>
        <w:numPr>
          <w:ilvl w:val="0"/>
          <w:numId w:val="1055"/>
        </w:numPr>
      </w:pPr>
      <w:r>
        <w:t xml:space="preserve">RTC applied (e.g., for maritime scenes with land samples for which RTC has been applied)</w:t>
      </w:r>
    </w:p>
    <w:p>
      <w:pPr>
        <w:pStyle w:val="Compact"/>
        <w:numPr>
          <w:ilvl w:val="0"/>
          <w:numId w:val="1055"/>
        </w:numPr>
      </w:pPr>
      <w:r>
        <w:t xml:space="preserve">DEM gap filling (i.e., interpolated DEM over gaps)</w:t>
      </w:r>
    </w:p>
    <w:bookmarkEnd w:id="168"/>
    <w:bookmarkStart w:id="169" w:name="assessment-31"/>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69"/>
    <w:bookmarkEnd w:id="170"/>
    <w:bookmarkStart w:id="174"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7"/>
        </w:numPr>
      </w:pPr>
      <w:r>
        <w:t xml:space="preserve">Sample Type (Scattering Area)</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FirstParagraph"/>
      </w:pPr>
      <w:r>
        <w:t xml:space="preserve">Notes:</w:t>
      </w:r>
    </w:p>
    <w:p>
      <w:pPr>
        <w:pStyle w:val="Compact"/>
        <w:numPr>
          <w:ilvl w:val="0"/>
          <w:numId w:val="1058"/>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8"/>
        </w:numPr>
      </w:pPr>
      <w:r>
        <w:t xml:space="preserve">Required for products such as NRB and POL if they are to be used as an input to production of composite backscatter (CB) when weighted averages based on the areas are used to generate composite backscatter.</w:t>
      </w:r>
    </w:p>
    <w:bookmarkEnd w:id="172"/>
    <w:bookmarkStart w:id="173" w:name="assessment-32"/>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3"/>
    <w:bookmarkEnd w:id="174"/>
    <w:bookmarkStart w:id="178"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5"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0"/>
        </w:numPr>
      </w:pPr>
      <w:r>
        <w:t xml:space="preserve">Sample Type (Angle)</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p>
      <w:pPr>
        <w:pStyle w:val="FirstParagraph"/>
      </w:pPr>
      <w:r>
        <w:t xml:space="preserve">Notes:</w:t>
      </w:r>
    </w:p>
    <w:p>
      <w:pPr>
        <w:pStyle w:val="Compact"/>
        <w:numPr>
          <w:ilvl w:val="0"/>
          <w:numId w:val="1061"/>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1"/>
        </w:numPr>
      </w:pPr>
      <w:r>
        <w:t xml:space="preserve">For maritime ORB scenes when no land areas are covered, a geoid model could be used for the calculation of the local incident angle</w:t>
      </w:r>
    </w:p>
    <w:bookmarkEnd w:id="175"/>
    <w:bookmarkStart w:id="176" w:name="goal-requirements-33"/>
    <w:p>
      <w:pPr>
        <w:pStyle w:val="berschrift5"/>
      </w:pPr>
      <w:r>
        <w:t xml:space="preserve">Goal requirements:</w:t>
      </w:r>
    </w:p>
    <w:p>
      <w:pPr>
        <w:pStyle w:val="FirstParagraph"/>
      </w:pPr>
      <w:r>
        <w:t xml:space="preserve">As threshold.</w:t>
      </w:r>
      <w:r>
        <w:t xml:space="preserve"> </w:t>
      </w:r>
    </w:p>
    <w:bookmarkEnd w:id="176"/>
    <w:bookmarkStart w:id="177" w:name="assessment-33"/>
    <w:p>
      <w:pPr>
        <w:pStyle w:val="berschrift5"/>
      </w:pPr>
      <w:r>
        <w:t xml:space="preserve">Assessment:</w:t>
      </w:r>
    </w:p>
    <w:p>
      <w:pPr>
        <w:pStyle w:val="Compact"/>
        <w:numPr>
          <w:ilvl w:val="0"/>
          <w:numId w:val="1062"/>
        </w:numPr>
      </w:pPr>
      <w:r>
        <w:t xml:space="preserve">Threshold Self-Assessment:</w:t>
      </w:r>
    </w:p>
    <w:p>
      <w:pPr>
        <w:pStyle w:val="Compact"/>
        <w:numPr>
          <w:ilvl w:val="0"/>
          <w:numId w:val="1062"/>
        </w:numPr>
      </w:pPr>
      <w:r>
        <w:t xml:space="preserve">Goal Self-Assessment:</w:t>
      </w:r>
    </w:p>
    <w:p>
      <w:pPr>
        <w:pStyle w:val="Compact"/>
        <w:numPr>
          <w:ilvl w:val="0"/>
          <w:numId w:val="1062"/>
        </w:numPr>
      </w:pPr>
      <w:r>
        <w:t xml:space="preserve">Self-Assessment Explanation/ Justification:</w:t>
      </w:r>
    </w:p>
    <w:p>
      <w:pPr>
        <w:pStyle w:val="Compact"/>
        <w:numPr>
          <w:ilvl w:val="0"/>
          <w:numId w:val="1062"/>
        </w:numPr>
      </w:pPr>
      <w:r>
        <w:t xml:space="preserve">Recommended Requirement Modification:</w:t>
      </w:r>
    </w:p>
    <w:p>
      <w:r>
        <w:pict>
          <v:rect style="width:0;height:1.5pt" o:hralign="center" o:hrstd="t" o:hr="t"/>
        </w:pict>
      </w:r>
    </w:p>
    <w:bookmarkEnd w:id="177"/>
    <w:bookmarkEnd w:id="178"/>
    <w:bookmarkStart w:id="182"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3"/>
        </w:numPr>
      </w:pPr>
      <w:r>
        <w:t xml:space="preserve">Sample Type (Angle)</w:t>
      </w:r>
    </w:p>
    <w:p>
      <w:pPr>
        <w:pStyle w:val="Compact"/>
        <w:numPr>
          <w:ilvl w:val="0"/>
          <w:numId w:val="1063"/>
        </w:numPr>
      </w:pPr>
      <w:r>
        <w:t xml:space="preserve">Data Format (GeoTIFF, HDF5, NetCDF, …)</w:t>
      </w:r>
    </w:p>
    <w:p>
      <w:pPr>
        <w:pStyle w:val="Compact"/>
        <w:numPr>
          <w:ilvl w:val="0"/>
          <w:numId w:val="1063"/>
        </w:numPr>
      </w:pPr>
      <w:r>
        <w:t xml:space="preserve">Data Type (Int, Float, …)</w:t>
      </w:r>
    </w:p>
    <w:p>
      <w:pPr>
        <w:pStyle w:val="Compact"/>
        <w:numPr>
          <w:ilvl w:val="0"/>
          <w:numId w:val="1063"/>
        </w:numPr>
      </w:pPr>
      <w:r>
        <w:t xml:space="preserve">Bits per Sample</w:t>
      </w:r>
    </w:p>
    <w:p>
      <w:pPr>
        <w:pStyle w:val="Compact"/>
        <w:numPr>
          <w:ilvl w:val="0"/>
          <w:numId w:val="1063"/>
        </w:numPr>
      </w:pPr>
      <w:r>
        <w:t xml:space="preserve">Byte Order</w:t>
      </w:r>
    </w:p>
    <w:p>
      <w:pPr>
        <w:pStyle w:val="Compact"/>
        <w:numPr>
          <w:ilvl w:val="0"/>
          <w:numId w:val="1063"/>
        </w:numPr>
      </w:pPr>
      <w:r>
        <w:t xml:space="preserve">Reference Ellipsoid Name</w:t>
      </w:r>
    </w:p>
    <w:p>
      <w:pPr>
        <w:pStyle w:val="FirstParagraph"/>
      </w:pPr>
      <w:r>
        <w:t xml:space="preserve">Notes:</w:t>
      </w:r>
    </w:p>
    <w:p>
      <w:pPr>
        <w:pStyle w:val="Compact"/>
        <w:numPr>
          <w:ilvl w:val="0"/>
          <w:numId w:val="1064"/>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4"/>
        </w:numPr>
      </w:pPr>
      <w:r>
        <w:t xml:space="preserve">For maritime ORB scenes when no land areas are covered, the ellipsoidal incident angle is nearly identical to the geod based local incident angle</w:t>
      </w:r>
    </w:p>
    <w:bookmarkEnd w:id="180"/>
    <w:bookmarkStart w:id="181" w:name="assessment-34"/>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81"/>
    <w:bookmarkEnd w:id="182"/>
    <w:bookmarkStart w:id="186"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3" w:name="threshold-requirements-35"/>
    <w:p>
      <w:pPr>
        <w:pStyle w:val="berschrift5"/>
      </w:pPr>
      <w:r>
        <w:t xml:space="preserve">Threshold requirements:</w:t>
      </w:r>
    </w:p>
    <w:p>
      <w:pPr>
        <w:pStyle w:val="FirstParagraph"/>
      </w:pPr>
      <w:r>
        <w:t xml:space="preserve">Not required.</w:t>
      </w:r>
      <w:r>
        <w:t xml:space="preserve"> </w:t>
      </w:r>
    </w:p>
    <w:bookmarkEnd w:id="183"/>
    <w:bookmarkStart w:id="184"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6"/>
        </w:numPr>
      </w:pPr>
      <w:r>
        <w:t xml:space="preserve">Sample Type (Gamma-Nought, Sigma-Nought, Beta-Nought)</w:t>
      </w:r>
    </w:p>
    <w:p>
      <w:pPr>
        <w:pStyle w:val="Compact"/>
        <w:numPr>
          <w:ilvl w:val="0"/>
          <w:numId w:val="1066"/>
        </w:numPr>
      </w:pPr>
      <w:r>
        <w:t xml:space="preserve">Correction model type (Ellipsoid, Topography)</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84"/>
    <w:bookmarkStart w:id="185" w:name="assessment-35"/>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85"/>
    <w:bookmarkEnd w:id="186"/>
    <w:bookmarkStart w:id="190" w:name="sec:pxl-pacqidm"/>
    <w:p>
      <w:pPr>
        <w:pStyle w:val="berschrift4"/>
      </w:pPr>
      <w:r>
        <w:rPr>
          <w:rStyle w:val="VerbatimChar"/>
        </w:rPr>
        <w:t xml:space="preserve">4.7.</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87" w:name="threshold-requirements-36"/>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68"/>
        </w:numPr>
      </w:pPr>
      <w:r>
        <w:t xml:space="preserve">Sample type (Day, Time, ID)</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187"/>
    <w:bookmarkStart w:id="188" w:name="goal-requirements-36"/>
    <w:p>
      <w:pPr>
        <w:pStyle w:val="berschrift5"/>
      </w:pPr>
      <w:r>
        <w:t xml:space="preserve">Goal requirements:</w:t>
      </w:r>
    </w:p>
    <w:p>
      <w:pPr>
        <w:pStyle w:val="FirstParagraph"/>
      </w:pPr>
      <w:r>
        <w:t xml:space="preserve">As threshold.</w:t>
      </w:r>
      <w:r>
        <w:t xml:space="preserve"> </w:t>
      </w:r>
    </w:p>
    <w:bookmarkEnd w:id="188"/>
    <w:bookmarkStart w:id="189"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9"/>
    <w:bookmarkEnd w:id="190"/>
    <w:bookmarkStart w:id="194" w:name="sec:pxl-pigeoid"/>
    <w:p>
      <w:pPr>
        <w:pStyle w:val="berschrift4"/>
      </w:pPr>
      <w:r>
        <w:rPr>
          <w:rStyle w:val="VerbatimChar"/>
        </w:rPr>
        <w:t xml:space="preserve">4.8.</w:t>
      </w:r>
      <w:r>
        <w:t xml:space="preserve"> </w:t>
      </w:r>
      <w:r>
        <w:t xml:space="preserve">Per-Pixel Geoid</w:t>
      </w:r>
    </w:p>
    <w:p>
      <w:pPr>
        <w:pStyle w:val="FirstParagraph"/>
      </w:pPr>
      <w:r>
        <w:t xml:space="preserve">Identifier:</w:t>
      </w:r>
      <w:r>
        <w:t xml:space="preserve"> </w:t>
      </w:r>
      <w:r>
        <w:rPr>
          <w:rStyle w:val="VerbatimChar"/>
        </w:rPr>
        <w:t xml:space="preserve">pxl-pigeoid</w:t>
      </w:r>
    </w:p>
    <w:bookmarkStart w:id="191" w:name="threshold-requirements-37"/>
    <w:p>
      <w:pPr>
        <w:pStyle w:val="berschrift5"/>
      </w:pPr>
      <w:r>
        <w:t xml:space="preserve">Threshold requirements:</w:t>
      </w:r>
    </w:p>
    <w:p>
      <w:pPr>
        <w:pStyle w:val="FirstParagraph"/>
      </w:pPr>
      <w:r>
        <w:t xml:space="preserve">Not required.</w:t>
      </w:r>
      <w:r>
        <w:t xml:space="preserve"> </w:t>
      </w:r>
    </w:p>
    <w:bookmarkEnd w:id="191"/>
    <w:bookmarkStart w:id="192" w:name="goal-requirements-37"/>
    <w:p>
      <w:pPr>
        <w:pStyle w:val="berschrift5"/>
      </w:pPr>
      <w:r>
        <w:t xml:space="preserve">Goal requirements:</w:t>
      </w:r>
    </w:p>
    <w:p>
      <w:pPr>
        <w:pStyle w:val="FirstParagraph"/>
      </w:pPr>
      <w:r>
        <w:t xml:space="preserve">Provide Geoid as used during the geometric and radiometric processing of the SAR data, resampled to an exact geometric match in extent and resolution with the CEOS-ARD image product.</w:t>
      </w:r>
    </w:p>
    <w:p>
      <w:pPr>
        <w:pStyle w:val="Textkrper"/>
      </w:pPr>
      <w:r>
        <w:t xml:space="preserve">File format specifications/contents provided in metadata:</w:t>
      </w:r>
    </w:p>
    <w:p>
      <w:pPr>
        <w:pStyle w:val="Compact"/>
        <w:numPr>
          <w:ilvl w:val="0"/>
          <w:numId w:val="1070"/>
        </w:numPr>
      </w:pPr>
      <w:r>
        <w:t xml:space="preserve">Sample Type (Height)</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p>
      <w:pPr>
        <w:pStyle w:val="Compact"/>
        <w:numPr>
          <w:ilvl w:val="0"/>
          <w:numId w:val="1070"/>
        </w:numPr>
      </w:pPr>
      <w:r>
        <w:t xml:space="preserve">Ground Sampling Distance</w:t>
      </w:r>
    </w:p>
    <w:bookmarkEnd w:id="192"/>
    <w:bookmarkStart w:id="193"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3"/>
    <w:bookmarkEnd w:id="194"/>
    <w:bookmarkStart w:id="198" w:name="sec:pxl-lookdiri"/>
    <w:p>
      <w:pPr>
        <w:pStyle w:val="berschrift4"/>
      </w:pPr>
      <w:r>
        <w:rPr>
          <w:rStyle w:val="VerbatimChar"/>
        </w:rPr>
        <w:t xml:space="preserve">4.9.</w:t>
      </w:r>
      <w:r>
        <w:t xml:space="preserve"> </w:t>
      </w:r>
      <w:r>
        <w:t xml:space="preserve">Look Direction Image</w:t>
      </w:r>
    </w:p>
    <w:p>
      <w:pPr>
        <w:pStyle w:val="FirstParagraph"/>
      </w:pPr>
      <w:r>
        <w:t xml:space="preserve">Identifier:</w:t>
      </w:r>
      <w:r>
        <w:t xml:space="preserve"> </w:t>
      </w:r>
      <w:r>
        <w:rPr>
          <w:rStyle w:val="VerbatimChar"/>
        </w:rPr>
        <w:t xml:space="preserve">pxl-lookdiri</w:t>
      </w:r>
    </w:p>
    <w:bookmarkStart w:id="195" w:name="threshold-requirements-38"/>
    <w:p>
      <w:pPr>
        <w:pStyle w:val="berschrift5"/>
      </w:pPr>
      <w:r>
        <w:t xml:space="preserve">Threshold requirements:</w:t>
      </w:r>
    </w:p>
    <w:p>
      <w:pPr>
        <w:pStyle w:val="FirstParagraph"/>
      </w:pPr>
      <w:r>
        <w:t xml:space="preserve">Not required.</w:t>
      </w:r>
      <w:r>
        <w:t xml:space="preserve"> </w:t>
      </w:r>
    </w:p>
    <w:bookmarkEnd w:id="195"/>
    <w:bookmarkStart w:id="196" w:name="goal-requirements-38"/>
    <w:p>
      <w:pPr>
        <w:pStyle w:val="berschrift5"/>
      </w:pPr>
      <w:r>
        <w:t xml:space="preserve">Goal requirements:</w:t>
      </w:r>
    </w:p>
    <w:p>
      <w:pPr>
        <w:pStyle w:val="FirstParagraph"/>
      </w:pPr>
      <w:r>
        <w:t xml:space="preserve">Look Direction Image is provided.</w:t>
      </w:r>
      <w:r>
        <w:t xml:space="preserve"> </w:t>
      </w:r>
      <w:r>
        <w:t xml:space="preserve">It represents the planar angle between north and each range direction.</w:t>
      </w:r>
    </w:p>
    <w:p>
      <w:pPr>
        <w:pStyle w:val="Textkrper"/>
      </w:pPr>
      <w:r>
        <w:t xml:space="preserve">File format specifications/contents provided in metadata:</w:t>
      </w:r>
    </w:p>
    <w:p>
      <w:pPr>
        <w:pStyle w:val="Compact"/>
        <w:numPr>
          <w:ilvl w:val="0"/>
          <w:numId w:val="1072"/>
        </w:numPr>
      </w:pPr>
      <w:r>
        <w:t xml:space="preserve">Sample Type (Angle)</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6"/>
    <w:bookmarkStart w:id="197"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7"/>
    <w:bookmarkEnd w:id="198"/>
    <w:bookmarkEnd w:id="199"/>
    <w:bookmarkStart w:id="220"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3" w:name="sec:rcm-backsca-orb"/>
    <w:p>
      <w:pPr>
        <w:pStyle w:val="berschrift4"/>
      </w:pPr>
      <w:r>
        <w:rPr>
          <w:rStyle w:val="VerbatimChar"/>
        </w:rPr>
        <w:t xml:space="preserve">5.1.</w:t>
      </w:r>
      <w:r>
        <w:t xml:space="preserve"> </w:t>
      </w:r>
      <w:r>
        <w:t xml:space="preserve">Backscatter Measurements (ORB)</w:t>
      </w:r>
    </w:p>
    <w:p>
      <w:pPr>
        <w:pStyle w:val="FirstParagraph"/>
      </w:pPr>
      <w:r>
        <w:t xml:space="preserve">Identifier:</w:t>
      </w:r>
      <w:r>
        <w:t xml:space="preserve"> </w:t>
      </w:r>
      <w:r>
        <w:rPr>
          <w:rStyle w:val="VerbatimChar"/>
        </w:rPr>
        <w:t xml:space="preserve">rcm-backsca-orb</w:t>
      </w:r>
    </w:p>
    <w:bookmarkStart w:id="200" w:name="threshold-requirements-39"/>
    <w:p>
      <w:pPr>
        <w:pStyle w:val="berschrift5"/>
      </w:pPr>
      <w:r>
        <w:t xml:space="preserve">Threshold requirements:</w:t>
      </w:r>
    </w:p>
    <w:p>
      <w:pPr>
        <w:pStyle w:val="FirstParagraph"/>
      </w:pPr>
      <w:r>
        <w:t xml:space="preserve">Geoid-corrected Sigma-Nought backscatter coefficient (</w:t>
      </w:r>
      <m:oMath>
        <m:sSup>
          <m:e>
            <m:r>
              <m:t>σ</m:t>
            </m:r>
          </m:e>
          <m:sup>
            <m:r>
              <m:t>0</m:t>
            </m:r>
          </m:sup>
        </m:s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(Sigma-Nought)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200"/>
    <w:bookmarkStart w:id="201" w:name="goal-requirements-39"/>
    <w:p>
      <w:pPr>
        <w:pStyle w:val="berschrift5"/>
      </w:pPr>
      <w:r>
        <w:t xml:space="preserve">Goal requirements:</w:t>
      </w:r>
    </w:p>
    <w:p>
      <w:pPr>
        <w:pStyle w:val="FirstParagraph"/>
      </w:pPr>
      <w:r>
        <w:t xml:space="preserve">Radiometrically Terrain-corrected Sigma-Nought backscatter coefficient (</w:t>
      </w:r>
      <m:oMath>
        <m:sSubSup>
          <m:e>
            <m:r>
              <m:t>σ</m:t>
            </m:r>
          </m:e>
          <m:sub>
            <m:r>
              <m:t>T</m:t>
            </m:r>
          </m:sub>
          <m:sup>
            <m:r>
              <m:t>0</m:t>
            </m:r>
          </m:sup>
        </m:sSubSup>
      </m:oMath>
      <w:r>
        <w:t xml:space="preserve">) is provided for each polarization.</w:t>
      </w:r>
    </w:p>
    <w:bookmarkEnd w:id="201"/>
    <w:bookmarkStart w:id="202"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2"/>
    <w:bookmarkEnd w:id="203"/>
    <w:bookmarkStart w:id="207"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4"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4"/>
    <w:bookmarkStart w:id="205" w:name="goal-requirements-40"/>
    <w:p>
      <w:pPr>
        <w:pStyle w:val="berschrift5"/>
      </w:pPr>
      <w:r>
        <w:t xml:space="preserve">Goal requirements:</w:t>
      </w:r>
    </w:p>
    <w:p>
      <w:pPr>
        <w:pStyle w:val="FirstParagraph"/>
      </w:pPr>
      <w:r>
        <w:t xml:space="preserve">As threshold, but use of float32.</w:t>
      </w:r>
    </w:p>
    <w:bookmarkEnd w:id="205"/>
    <w:bookmarkStart w:id="206"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6"/>
    <w:bookmarkEnd w:id="207"/>
    <w:bookmarkStart w:id="211"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8"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8"/>
    <w:bookmarkStart w:id="209" w:name="goal-requirements-41"/>
    <w:p>
      <w:pPr>
        <w:pStyle w:val="berschrift5"/>
      </w:pPr>
      <w:r>
        <w:t xml:space="preserve">Goal requirements:</w:t>
      </w:r>
    </w:p>
    <w:p>
      <w:pPr>
        <w:pStyle w:val="FirstParagraph"/>
      </w:pPr>
      <w:r>
        <w:t xml:space="preserve">As threshold.</w:t>
      </w:r>
      <w:r>
        <w:t xml:space="preserve"> </w:t>
      </w:r>
    </w:p>
    <w:bookmarkEnd w:id="209"/>
    <w:bookmarkStart w:id="210"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10"/>
    <w:bookmarkEnd w:id="211"/>
    <w:bookmarkStart w:id="215" w:name="sec:rcm-radacc-sar"/>
    <w:p>
      <w:pPr>
        <w:pStyle w:val="berschrift4"/>
      </w:pPr>
      <w:r>
        <w:rPr>
          <w:rStyle w:val="VerbatimChar"/>
        </w:rPr>
        <w:t xml:space="preserve">5.4.</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2" w:name="threshold-requirements-42"/>
    <w:p>
      <w:pPr>
        <w:pStyle w:val="berschrift5"/>
      </w:pPr>
      <w:r>
        <w:t xml:space="preserve">Threshold requirements:</w:t>
      </w:r>
    </w:p>
    <w:p>
      <w:pPr>
        <w:pStyle w:val="FirstParagraph"/>
      </w:pPr>
      <w:r>
        <w:t xml:space="preserve">Not required.</w:t>
      </w:r>
      <w:r>
        <w:t xml:space="preserve"> </w:t>
      </w:r>
    </w:p>
    <w:bookmarkEnd w:id="212"/>
    <w:bookmarkStart w:id="213" w:name="goal-requirements-42"/>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3"/>
    <w:bookmarkStart w:id="214" w:name="assessment-42"/>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14"/>
    <w:bookmarkEnd w:id="215"/>
    <w:bookmarkStart w:id="219" w:name="sec:rcm-backsmwn"/>
    <w:p>
      <w:pPr>
        <w:pStyle w:val="berschrift4"/>
      </w:pPr>
      <w:r>
        <w:rPr>
          <w:rStyle w:val="VerbatimChar"/>
        </w:rPr>
        <w:t xml:space="preserve">5.5.</w:t>
      </w:r>
      <w:r>
        <w:t xml:space="preserve"> </w:t>
      </w:r>
      <w:r>
        <w:t xml:space="preserve">Mean Wind-Normalised Backscatter Measurements</w:t>
      </w:r>
    </w:p>
    <w:p>
      <w:pPr>
        <w:pStyle w:val="FirstParagraph"/>
      </w:pPr>
      <w:r>
        <w:t xml:space="preserve">Identifier:</w:t>
      </w:r>
      <w:r>
        <w:t xml:space="preserve"> </w:t>
      </w:r>
      <w:r>
        <w:rPr>
          <w:rStyle w:val="VerbatimChar"/>
        </w:rPr>
        <w:t xml:space="preserve">rcm-backsmwn</w:t>
      </w:r>
    </w:p>
    <w:p>
      <w:pPr>
        <w:pStyle w:val="Textkrper"/>
      </w:pPr>
      <w:r>
        <w:rPr>
          <w:b/>
          <w:bCs/>
        </w:rPr>
        <w:t xml:space="preserve">Usage:</w:t>
      </w:r>
      <w:r>
        <w:t xml:space="preserve"> </w:t>
      </w:r>
      <w:r>
        <w:t xml:space="preserve">Only for Maritime scenes.</w:t>
      </w:r>
    </w:p>
    <w:bookmarkStart w:id="216" w:name="threshold-requirements-43"/>
    <w:p>
      <w:pPr>
        <w:pStyle w:val="berschrift5"/>
      </w:pPr>
      <w:r>
        <w:t xml:space="preserve">Threshold requirements:</w:t>
      </w:r>
    </w:p>
    <w:p>
      <w:pPr>
        <w:pStyle w:val="FirstParagraph"/>
      </w:pPr>
      <w:r>
        <w:t xml:space="preserve">Not required.</w:t>
      </w:r>
      <w:r>
        <w:t xml:space="preserve"> </w:t>
      </w:r>
    </w:p>
    <w:bookmarkEnd w:id="216"/>
    <w:bookmarkStart w:id="217" w:name="goal-requirements-43"/>
    <w:p>
      <w:pPr>
        <w:pStyle w:val="berschrift5"/>
      </w:pPr>
      <w:r>
        <w:t xml:space="preserve">Goal requirements:</w:t>
      </w:r>
    </w:p>
    <w:p>
      <w:pPr>
        <w:pStyle w:val="FirstParagraph"/>
      </w:pPr>
      <w:r>
        <w:t xml:space="preserve">Mean wind-normalised (over ocean) backscatter coefficient is provided for each available polarization.</w:t>
      </w:r>
      <w:r>
        <w:t xml:space="preserve"> </w:t>
      </w:r>
      <w:r>
        <w:t xml:space="preserve">It is calculated as the ratio between the backscatter intensity and a simulated backscatter intensity image generated using an ocean surface wind model such as, e.g.,</w:t>
      </w:r>
      <w:r>
        <w:t xml:space="preserve"> </w:t>
      </w:r>
      <w:r>
        <w:t xml:space="preserve">(</w:t>
      </w:r>
      <w:hyperlink w:anchor="ref-quilfen1998">
        <w:r>
          <w:rPr>
            <w:rStyle w:val="Hyperlink"/>
          </w:rPr>
          <w:t xml:space="preserve">Yves et al. 1998</w:t>
        </w:r>
      </w:hyperlink>
      <w:r>
        <w:t xml:space="preserve">)</w:t>
      </w:r>
      <w:r>
        <w:t xml:space="preserve"> </w:t>
      </w:r>
      <w:r>
        <w:t xml:space="preserve">or</w:t>
      </w:r>
      <w:r>
        <w:t xml:space="preserve"> </w:t>
      </w:r>
      <w:r>
        <w:t xml:space="preserve">(</w:t>
      </w:r>
      <w:hyperlink w:anchor="ref-vachon2000">
        <w:r>
          <w:rPr>
            <w:rStyle w:val="Hyperlink"/>
          </w:rPr>
          <w:t xml:space="preserve">Vachon and Dobson 2000</w:t>
        </w:r>
      </w:hyperlink>
      <w:r>
        <w:t xml:space="preserve">)</w:t>
      </w:r>
      <w:r>
        <w:t xml:space="preserve"> </w:t>
      </w:r>
      <w:r>
        <w:t xml:space="preserve">for VV and HH polarization respectively.</w:t>
      </w:r>
    </w:p>
    <w:p>
      <w:pPr>
        <w:pStyle w:val="Textkrper"/>
      </w:pPr>
      <w:r>
        <w:t xml:space="preserve">File format specifications/contents provided in metadata:</w:t>
      </w:r>
    </w:p>
    <w:p>
      <w:pPr>
        <w:pStyle w:val="Compact"/>
        <w:numPr>
          <w:ilvl w:val="0"/>
          <w:numId w:val="1082"/>
        </w:numPr>
      </w:pPr>
      <w:r>
        <w:t xml:space="preserve">Measurement Type (Wind-Normalised Backscatter)</w:t>
      </w:r>
    </w:p>
    <w:p>
      <w:pPr>
        <w:pStyle w:val="Compact"/>
        <w:numPr>
          <w:ilvl w:val="0"/>
          <w:numId w:val="1082"/>
        </w:numPr>
      </w:pPr>
      <w:r>
        <w:t xml:space="preserve">Backscatter Expression Convention (intensity ratio)</w:t>
      </w:r>
    </w:p>
    <w:p>
      <w:pPr>
        <w:pStyle w:val="Compact"/>
        <w:numPr>
          <w:ilvl w:val="0"/>
          <w:numId w:val="1082"/>
        </w:numPr>
      </w:pPr>
      <w:r>
        <w:t xml:space="preserve">Polarization (HH, HV, VV, VH)</w:t>
      </w:r>
    </w:p>
    <w:p>
      <w:pPr>
        <w:pStyle w:val="Compact"/>
        <w:numPr>
          <w:ilvl w:val="0"/>
          <w:numId w:val="1082"/>
        </w:numPr>
      </w:pPr>
      <w:r>
        <w:t xml:space="preserve">Data Format (GeoTIFF, HDF5, NetCDF, …)</w:t>
      </w:r>
    </w:p>
    <w:p>
      <w:pPr>
        <w:pStyle w:val="Compact"/>
        <w:numPr>
          <w:ilvl w:val="0"/>
          <w:numId w:val="1082"/>
        </w:numPr>
      </w:pPr>
      <w:r>
        <w:t xml:space="preserve">Data Type (Int, Float, …)</w:t>
      </w:r>
    </w:p>
    <w:p>
      <w:pPr>
        <w:pStyle w:val="Compact"/>
        <w:numPr>
          <w:ilvl w:val="0"/>
          <w:numId w:val="1082"/>
        </w:numPr>
      </w:pPr>
      <w:r>
        <w:t xml:space="preserve">Bits per Sample</w:t>
      </w:r>
    </w:p>
    <w:p>
      <w:pPr>
        <w:pStyle w:val="Compact"/>
        <w:numPr>
          <w:ilvl w:val="0"/>
          <w:numId w:val="1082"/>
        </w:numPr>
      </w:pPr>
      <w:r>
        <w:t xml:space="preserve">Byte Order</w:t>
      </w:r>
    </w:p>
    <w:p>
      <w:pPr>
        <w:pStyle w:val="FirstParagraph"/>
      </w:pPr>
      <w:r>
        <w:t xml:space="preserve">Note:</w:t>
      </w:r>
    </w:p>
    <w:p>
      <w:pPr>
        <w:pStyle w:val="Compact"/>
        <w:numPr>
          <w:ilvl w:val="0"/>
          <w:numId w:val="1083"/>
        </w:numPr>
      </w:pPr>
      <w:r>
        <w:t xml:space="preserve">Reference wind model, wind speed and direction used for reference backscattering coefficient should be provided.</w:t>
      </w:r>
    </w:p>
    <w:bookmarkEnd w:id="217"/>
    <w:bookmarkStart w:id="218"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bookmarkEnd w:id="218"/>
    <w:bookmarkEnd w:id="219"/>
    <w:bookmarkEnd w:id="220"/>
    <w:bookmarkStart w:id="241"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4"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1" w:name="threshold-requirements-44"/>
    <w:p>
      <w:pPr>
        <w:pStyle w:val="berschrift5"/>
      </w:pPr>
      <w:r>
        <w:t xml:space="preserve">Threshold requirements:</w:t>
      </w:r>
    </w:p>
    <w:p>
      <w:pPr>
        <w:pStyle w:val="FirstParagraph"/>
      </w:pPr>
      <w:r>
        <w:t xml:space="preserve">Not required.</w:t>
      </w:r>
      <w:r>
        <w:t xml:space="preserve"> </w:t>
      </w:r>
    </w:p>
    <w:bookmarkEnd w:id="221"/>
    <w:bookmarkStart w:id="222" w:name="goal-requirements-44"/>
    <w:p>
      <w:pPr>
        <w:pStyle w:val="berschrift5"/>
      </w:pPr>
      <w:r>
        <w:t xml:space="preserve">Goal requirements:</w:t>
      </w:r>
    </w:p>
    <w:p>
      <w:pPr>
        <w:pStyle w:val="FirstParagraph"/>
      </w:pPr>
      <w:r>
        <w:t xml:space="preserve">Metadata references, e.g.:</w:t>
      </w:r>
    </w:p>
    <w:p>
      <w:pPr>
        <w:pStyle w:val="Compact"/>
        <w:numPr>
          <w:ilvl w:val="0"/>
          <w:numId w:val="1085"/>
        </w:numPr>
      </w:pPr>
      <w:r>
        <w:t xml:space="preserve">A metadata citable peer-reviewed algorithm</w:t>
      </w:r>
    </w:p>
    <w:p>
      <w:pPr>
        <w:pStyle w:val="Compact"/>
        <w:numPr>
          <w:ilvl w:val="0"/>
          <w:numId w:val="1085"/>
        </w:numPr>
      </w:pPr>
      <w:r>
        <w:t xml:space="preserve">Technical documentation regarding the implementation of that algorithm expressed as URLs or DOIs</w:t>
      </w:r>
    </w:p>
    <w:p>
      <w:pPr>
        <w:pStyle w:val="Compact"/>
        <w:numPr>
          <w:ilvl w:val="0"/>
          <w:numId w:val="1085"/>
        </w:numPr>
      </w:pPr>
      <w:r>
        <w:t xml:space="preserve">The sources of auxiliary data used to make corrections</w:t>
      </w:r>
    </w:p>
    <w:p>
      <w:pPr>
        <w:pStyle w:val="Compact"/>
        <w:numPr>
          <w:ilvl w:val="0"/>
          <w:numId w:val="1085"/>
        </w:numPr>
      </w:pPr>
      <w:r>
        <w:t xml:space="preserve">Resampling method used for geometric processing of the source data</w:t>
      </w:r>
    </w:p>
    <w:p>
      <w:pPr>
        <w:pStyle w:val="FirstParagraph"/>
      </w:pPr>
      <w:r>
        <w:t xml:space="preserve">Note:</w:t>
      </w:r>
    </w:p>
    <w:p>
      <w:pPr>
        <w:pStyle w:val="Compact"/>
        <w:numPr>
          <w:ilvl w:val="0"/>
          <w:numId w:val="1086"/>
        </w:numPr>
      </w:pPr>
      <w:r>
        <w:t xml:space="preserve">Examples of technical documentation can include e.g., an Algorithm Theoretical Basis Document (ATBD), or a product user guide.</w:t>
      </w:r>
    </w:p>
    <w:bookmarkEnd w:id="222"/>
    <w:bookmarkStart w:id="223"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23"/>
    <w:bookmarkEnd w:id="224"/>
    <w:bookmarkStart w:id="228"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5" w:name="threshold-requirements-45"/>
    <w:p>
      <w:pPr>
        <w:pStyle w:val="berschrift5"/>
      </w:pPr>
      <w:r>
        <w:t xml:space="preserve">Threshold requirements:</w:t>
      </w:r>
    </w:p>
    <w:p>
      <w:pPr>
        <w:pStyle w:val="Compact"/>
        <w:numPr>
          <w:ilvl w:val="0"/>
          <w:numId w:val="1088"/>
        </w:numPr>
      </w:pPr>
      <w:r>
        <w:t xml:space="preserve">During ortho-rectification, the data provider shall use the same DEM that was used for the radiometric terrain flattening to ensure consistency of the data stack.</w:t>
      </w:r>
    </w:p>
    <w:p>
      <w:pPr>
        <w:pStyle w:val="Compact"/>
        <w:numPr>
          <w:ilvl w:val="0"/>
          <w:numId w:val="1088"/>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8"/>
        </w:numPr>
      </w:pPr>
      <w:r>
        <w:t xml:space="preserve">Provide reference to Earth Gravitational Model (EGM) if used for geometric correction. For mosaic or composite products, specify the EGM used for each input data source, if different.</w:t>
      </w:r>
    </w:p>
    <w:bookmarkEnd w:id="225"/>
    <w:bookmarkStart w:id="226" w:name="goal-requirements-45"/>
    <w:p>
      <w:pPr>
        <w:pStyle w:val="berschrift5"/>
      </w:pPr>
      <w:r>
        <w:t xml:space="preserve">Goal requirements:</w:t>
      </w:r>
    </w:p>
    <w:p>
      <w:pPr>
        <w:pStyle w:val="Compact"/>
        <w:numPr>
          <w:ilvl w:val="0"/>
          <w:numId w:val="1089"/>
        </w:numPr>
      </w:pPr>
      <w:r>
        <w:t xml:space="preserve">A DEM with comparable or better resolution to the resolution of the output CEOS-ARD product shall be used if available. Else, the upsampled DEM is identified.</w:t>
      </w:r>
    </w:p>
    <w:p>
      <w:pPr>
        <w:pStyle w:val="Compact"/>
        <w:numPr>
          <w:ilvl w:val="0"/>
          <w:numId w:val="1089"/>
        </w:numPr>
      </w:pPr>
      <w:r>
        <w:t xml:space="preserve">Resampling method used for preparation of the DEM.</w:t>
      </w:r>
    </w:p>
    <w:p>
      <w:pPr>
        <w:pStyle w:val="Compact"/>
        <w:numPr>
          <w:ilvl w:val="0"/>
          <w:numId w:val="1089"/>
        </w:numPr>
      </w:pPr>
      <w:r>
        <w:t xml:space="preserve">Method used for resampling the EGM.</w:t>
      </w:r>
    </w:p>
    <w:bookmarkEnd w:id="226"/>
    <w:bookmarkStart w:id="227"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7"/>
    <w:bookmarkEnd w:id="228"/>
    <w:bookmarkStart w:id="232"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29" w:name="threshold-requirements-46"/>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1"/>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1"/>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1"/>
        </w:numPr>
      </w:pPr>
      <w:r>
        <w:t xml:space="preserve">For new SAR missions, as long as calibration/validation reports are not available, values can be set to NaN and provide a DOI or URL link to pre-launch mission specification document.</w:t>
      </w:r>
    </w:p>
    <w:bookmarkEnd w:id="229"/>
    <w:bookmarkStart w:id="230" w:name="goal-requirements-46"/>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0"/>
    <w:bookmarkStart w:id="231"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1"/>
    <w:bookmarkEnd w:id="232"/>
    <w:bookmarkStart w:id="236"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3" w:name="threshold-requirements-47"/>
    <w:p>
      <w:pPr>
        <w:pStyle w:val="berschrift5"/>
      </w:pPr>
      <w:r>
        <w:t xml:space="preserve">Threshold requirements:</w:t>
      </w:r>
    </w:p>
    <w:p>
      <w:pPr>
        <w:pStyle w:val="FirstParagraph"/>
      </w:pPr>
      <w:r>
        <w:t xml:space="preserve">Not required.</w:t>
      </w:r>
      <w:r>
        <w:t xml:space="preserve"> </w:t>
      </w:r>
    </w:p>
    <w:bookmarkEnd w:id="233"/>
    <w:bookmarkStart w:id="234" w:name="goal-requirements-47"/>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4"/>
    <w:bookmarkStart w:id="235" w:name="assessment-47"/>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5"/>
    <w:bookmarkEnd w:id="236"/>
    <w:bookmarkStart w:id="240"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37" w:name="threshold-requirements-48"/>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4"/>
        </w:numPr>
      </w:pPr>
      <w:r>
        <w:t xml:space="preserve">If a product hierarchy of resolutions exists (or is planned), the multiple resolutions should nest within each other (e.g., 12.5m, 25m, 50m, 100m, etc.), and not be disjoint.</w:t>
      </w:r>
    </w:p>
    <w:bookmarkEnd w:id="237"/>
    <w:bookmarkStart w:id="238" w:name="goal-requirements-48"/>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38"/>
    <w:bookmarkStart w:id="239"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br w:type="page"/>
      </w:r>
    </w:p>
    <w:bookmarkEnd w:id="239"/>
    <w:bookmarkEnd w:id="240"/>
    <w:bookmarkEnd w:id="241"/>
    <w:bookmarkEnd w:id="242"/>
    <w:bookmarkStart w:id="249" w:name="summary-self-assessment-table"/>
    <w:p>
      <w:pPr>
        <w:pStyle w:val="berschrift2"/>
      </w:pPr>
      <w:r>
        <w:t xml:space="preserve">Summary Self-Assessment Table</w:t>
      </w:r>
    </w:p>
    <w:bookmarkStart w:id="243"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3"/>
    <w:bookmarkStart w:id="244"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4"/>
    <w:bookmarkStart w:id="245"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prd-lookdip</w:t>
            </w:r>
          </w:p>
        </w:tc>
        <w:tc>
          <w:tcPr/>
          <w:p>
            <w:pPr>
              <w:pStyle w:val="Compact"/>
            </w:pPr>
            <w:r>
              <w:t xml:space="preserve">Look Direction Polynomials</w:t>
            </w:r>
          </w:p>
        </w:tc>
        <w:tc>
          <w:tcPr/>
          <w:p>
            <w:pPr>
              <w:pStyle w:val="Compact"/>
            </w:pPr>
          </w:p>
        </w:tc>
        <w:tc>
          <w:tcPr/>
          <w:p>
            <w:pPr>
              <w:pStyle w:val="Compact"/>
              <w:jc w:val="center"/>
            </w:pPr>
            <w:r>
              <w:rPr>
                <w:i/>
                <w:iCs/>
              </w:rPr>
              <w:t xml:space="preserve">as threshold</w:t>
            </w:r>
          </w:p>
        </w:tc>
      </w:tr>
    </w:tbl>
    <w:bookmarkEnd w:id="245"/>
    <w:bookmarkStart w:id="24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pxl-pigeoid</w:t>
            </w:r>
          </w:p>
        </w:tc>
        <w:tc>
          <w:tcPr/>
          <w:p>
            <w:pPr>
              <w:pStyle w:val="Compact"/>
            </w:pPr>
            <w:r>
              <w:t xml:space="preserve">Per-Pixel Geoid</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pxl-lookdiri</w:t>
            </w:r>
          </w:p>
        </w:tc>
        <w:tc>
          <w:tcPr/>
          <w:p>
            <w:pPr>
              <w:pStyle w:val="Compact"/>
            </w:pPr>
            <w:r>
              <w:t xml:space="preserve">Look Direction Image</w:t>
            </w:r>
          </w:p>
        </w:tc>
        <w:tc>
          <w:tcPr/>
          <w:p>
            <w:pPr>
              <w:pStyle w:val="Compact"/>
              <w:jc w:val="center"/>
            </w:pPr>
            <w:r>
              <w:rPr>
                <w:i/>
                <w:iCs/>
              </w:rPr>
              <w:t xml:space="preserve">not required</w:t>
            </w:r>
          </w:p>
        </w:tc>
        <w:tc>
          <w:tcPr/>
          <w:p>
            <w:pPr>
              <w:pStyle w:val="Compact"/>
            </w:pPr>
          </w:p>
        </w:tc>
      </w:tr>
    </w:tbl>
    <w:bookmarkEnd w:id="246"/>
    <w:bookmarkStart w:id="247"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rcm-backsca-orb</w:t>
            </w:r>
          </w:p>
        </w:tc>
        <w:tc>
          <w:tcPr/>
          <w:p>
            <w:pPr>
              <w:pStyle w:val="Compact"/>
            </w:pPr>
            <w:r>
              <w:t xml:space="preserve">Backscatter Measurements (ORB)</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rcm-backsmwn</w:t>
            </w:r>
          </w:p>
        </w:tc>
        <w:tc>
          <w:tcPr/>
          <w:p>
            <w:pPr>
              <w:pStyle w:val="Compact"/>
            </w:pPr>
            <w:r>
              <w:t xml:space="preserve">Mean Wind-Normalised Backscatter Measurements</w:t>
            </w:r>
          </w:p>
        </w:tc>
        <w:tc>
          <w:tcPr/>
          <w:p>
            <w:pPr>
              <w:pStyle w:val="Compact"/>
              <w:jc w:val="center"/>
            </w:pPr>
            <w:r>
              <w:rPr>
                <w:i/>
                <w:iCs/>
              </w:rPr>
              <w:t xml:space="preserve">not required</w:t>
            </w:r>
          </w:p>
        </w:tc>
        <w:tc>
          <w:tcPr/>
          <w:p>
            <w:pPr>
              <w:pStyle w:val="Compact"/>
            </w:pPr>
          </w:p>
        </w:tc>
      </w:tr>
    </w:tbl>
    <w:bookmarkEnd w:id="247"/>
    <w:bookmarkStart w:id="24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48"/>
    <w:bookmarkEnd w:id="249"/>
    <w:bookmarkStart w:id="25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0"/>
    <w:bookmarkStart w:id="25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6"/>
        </w:numPr>
      </w:pPr>
      <w:r>
        <w:t xml:space="preserve">that product has been assessed as meeting CEOS-ARD requirements by the agency responsible for production and distribution of the product, and</w:t>
      </w:r>
    </w:p>
    <w:p>
      <w:pPr>
        <w:pStyle w:val="Compact"/>
        <w:numPr>
          <w:ilvl w:val="0"/>
          <w:numId w:val="1096"/>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2"/>
    <w:bookmarkStart w:id="25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3"/>
    <w:bookmarkStart w:id="254"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4"/>
    <w:bookmarkEnd w:id="255"/>
    <w:bookmarkStart w:id="275" w:name="references"/>
    <w:p>
      <w:pPr>
        <w:pStyle w:val="berschrift2"/>
      </w:pPr>
      <w:r>
        <w:t xml:space="preserve">References</w:t>
      </w:r>
    </w:p>
    <w:bookmarkStart w:id="274" w:name="refs"/>
    <w:bookmarkStart w:id="257"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6">
        <w:r>
          <w:rPr>
            <w:rStyle w:val="Hyperlink"/>
          </w:rPr>
          <w:t xml:space="preserve">https://doi.org/10.5281/zenodo.17801666</w:t>
        </w:r>
      </w:hyperlink>
      <w:r>
        <w:t xml:space="preserve">.</w:t>
      </w:r>
    </w:p>
    <w:bookmarkEnd w:id="257"/>
    <w:bookmarkStart w:id="25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58"/>
    <w:bookmarkStart w:id="259"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59"/>
    <w:bookmarkStart w:id="261"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0">
        <w:r>
          <w:rPr>
            <w:rStyle w:val="Hyperlink"/>
          </w:rPr>
          <w:t xml:space="preserve">https://doi.org/10.1109/TGRS.2008.2002881</w:t>
        </w:r>
      </w:hyperlink>
      <w:r>
        <w:t xml:space="preserve">.</w:t>
      </w:r>
    </w:p>
    <w:bookmarkEnd w:id="261"/>
    <w:bookmarkStart w:id="263"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2">
        <w:r>
          <w:rPr>
            <w:rStyle w:val="Hyperlink"/>
          </w:rPr>
          <w:t xml:space="preserve">https://doi.org/10.1109/TGRS.2022.3147472</w:t>
        </w:r>
      </w:hyperlink>
      <w:r>
        <w:t xml:space="preserve">.</w:t>
      </w:r>
    </w:p>
    <w:bookmarkEnd w:id="263"/>
    <w:bookmarkStart w:id="265"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4">
        <w:r>
          <w:rPr>
            <w:rStyle w:val="Hyperlink"/>
          </w:rPr>
          <w:t xml:space="preserve">https://doi.org/10.1109/TGRS.2011.2120616</w:t>
        </w:r>
      </w:hyperlink>
      <w:r>
        <w:t xml:space="preserve">.</w:t>
      </w:r>
    </w:p>
    <w:bookmarkEnd w:id="265"/>
    <w:bookmarkStart w:id="267" w:name="ref-vachon2000"/>
    <w:p>
      <w:pPr>
        <w:pStyle w:val="Literaturverzeichnis"/>
      </w:pPr>
      <w:r>
        <w:t xml:space="preserve">Vachon, P., and F. Dobson. 2000.</w:t>
      </w:r>
      <w:r>
        <w:t xml:space="preserve"> </w:t>
      </w:r>
      <w:r>
        <w:t xml:space="preserve">“Wind Retrieval from RADARSAT SAR Images: Selection of a Suitable c-Band HH Polarization Wind Retrieval Model.”</w:t>
      </w:r>
      <w:r>
        <w:t xml:space="preserve"> </w:t>
      </w:r>
      <w:r>
        <w:rPr>
          <w:i/>
          <w:iCs/>
        </w:rPr>
        <w:t xml:space="preserve">Can. J. Remote Sens.</w:t>
      </w:r>
      <w:r>
        <w:t xml:space="preserve"> </w:t>
      </w:r>
      <w:r>
        <w:t xml:space="preserve">26 (August): 306–13.</w:t>
      </w:r>
      <w:r>
        <w:t xml:space="preserve"> </w:t>
      </w:r>
      <w:hyperlink r:id="rId266">
        <w:r>
          <w:rPr>
            <w:rStyle w:val="Hyperlink"/>
          </w:rPr>
          <w:t xml:space="preserve">https://doi.org/10.1080/07038992.2000.10874781</w:t>
        </w:r>
      </w:hyperlink>
      <w:r>
        <w:t xml:space="preserve">.</w:t>
      </w:r>
    </w:p>
    <w:bookmarkEnd w:id="267"/>
    <w:bookmarkStart w:id="269" w:name="ref-quilfen1998"/>
    <w:p>
      <w:pPr>
        <w:pStyle w:val="Literaturverzeichnis"/>
      </w:pPr>
      <w:r>
        <w:t xml:space="preserve">Yves, Quilfen, B. Chapron, T. Elfouhaily, Kristina Katsaros, and Jean Tournadre. 1998.</w:t>
      </w:r>
      <w:r>
        <w:t xml:space="preserve"> </w:t>
      </w:r>
      <w:r>
        <w:t xml:space="preserve">“Observation of Tropical Cyclones by High-Resolution Scatterometry.”</w:t>
      </w:r>
      <w:r>
        <w:t xml:space="preserve"> </w:t>
      </w:r>
      <w:r>
        <w:rPr>
          <w:i/>
          <w:iCs/>
        </w:rPr>
        <w:t xml:space="preserve">J. Geophys. Res.</w:t>
      </w:r>
      <w:r>
        <w:t xml:space="preserve"> </w:t>
      </w:r>
      <w:r>
        <w:t xml:space="preserve">103 (April): 7, 767–67, 786.</w:t>
      </w:r>
      <w:r>
        <w:t xml:space="preserve"> </w:t>
      </w:r>
      <w:hyperlink r:id="rId268">
        <w:r>
          <w:rPr>
            <w:rStyle w:val="Hyperlink"/>
          </w:rPr>
          <w:t xml:space="preserve">https://doi.org/10.1029/97JC01911</w:t>
        </w:r>
      </w:hyperlink>
      <w:r>
        <w:t xml:space="preserve">.</w:t>
      </w:r>
    </w:p>
    <w:bookmarkEnd w:id="269"/>
    <w:bookmarkStart w:id="271"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0">
        <w:r>
          <w:rPr>
            <w:rStyle w:val="Hyperlink"/>
          </w:rPr>
          <w:t xml:space="preserve">https://doi.org/10.1109/LGRS.2017.2753580</w:t>
        </w:r>
      </w:hyperlink>
      <w:r>
        <w:t xml:space="preserve">.</w:t>
      </w:r>
    </w:p>
    <w:bookmarkEnd w:id="271"/>
    <w:bookmarkStart w:id="273"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2">
        <w:r>
          <w:rPr>
            <w:rStyle w:val="Hyperlink"/>
          </w:rPr>
          <w:t xml:space="preserve">https://doi.org/10.1109/TGRS.2010.2051333</w:t>
        </w:r>
      </w:hyperlink>
      <w:r>
        <w:t xml:space="preserve">.</w:t>
      </w:r>
    </w:p>
    <w:bookmarkEnd w:id="273"/>
    <w:bookmarkEnd w:id="274"/>
    <w:p>
      <w:r>
        <w:br w:type="page"/>
      </w:r>
    </w:p>
    <w:bookmarkEnd w:id="275"/>
    <w:bookmarkStart w:id="303" w:name="annexes"/>
    <w:p>
      <w:pPr>
        <w:pStyle w:val="berschrift2"/>
      </w:pPr>
      <w:r>
        <w:t xml:space="preserve">Annexes</w:t>
      </w:r>
    </w:p>
    <w:bookmarkStart w:id="277"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7"/>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7"/>
        </w:numPr>
      </w:pPr>
      <w:r>
        <w:t xml:space="preserve">Apply instrument calibration to produce Beta-Nought values with high fidelity.</w:t>
      </w:r>
    </w:p>
    <w:p>
      <w:pPr>
        <w:pStyle w:val="Compact"/>
        <w:numPr>
          <w:ilvl w:val="0"/>
          <w:numId w:val="1097"/>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7"/>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7"/>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7"/>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7"/>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7"/>
        </w:numPr>
      </w:pPr>
      <w:r>
        <w:t xml:space="preserve">Generate CEOS format metadata to accompany product layers.</w:t>
      </w:r>
    </w:p>
    <w:p>
      <w:pPr>
        <w:pStyle w:val="Compact"/>
        <w:numPr>
          <w:ilvl w:val="0"/>
          <w:numId w:val="1097"/>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6"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6"/>
    <w:bookmarkEnd w:id="277"/>
    <w:bookmarkStart w:id="302" w:name="sec:annex-sar-orb-example"/>
    <w:p>
      <w:pPr>
        <w:pStyle w:val="berschrift3"/>
      </w:pPr>
      <w:r>
        <w:t xml:space="preserve">Ocean Radar Backscatter example</w:t>
      </w:r>
    </w:p>
    <w:p>
      <w:pPr>
        <w:pStyle w:val="FirstParagraph"/>
      </w:pPr>
      <w:r>
        <w:t xml:space="preserve">In contrast to NRB and POL, CEOS-ARD Ocean Radar Backscatter ORB products are geoid corrected and are provided in the Sigma-Nought (</w:t>
      </w:r>
      <m:oMath>
        <m:sSubSup>
          <m:e>
            <m:r>
              <m:t>σ</m:t>
            </m:r>
          </m:e>
          <m:sub>
            <m:r>
              <m:t>E</m:t>
            </m:r>
          </m:sub>
          <m:sup>
            <m:r>
              <m:t>0</m:t>
            </m:r>
          </m:sup>
        </m:sSubSup>
      </m:oMath>
      <w:r>
        <w:t xml:space="preserve">) backscatter convention (Figure </w:t>
      </w:r>
      <w:hyperlink w:anchor="fig:sar-orb-example-fig1a">
        <w:r>
          <w:rPr>
            <w:rStyle w:val="Hyperlink"/>
          </w:rPr>
          <w:t xml:space="preserve">1</w:t>
        </w:r>
      </w:hyperlink>
      <w:r>
        <w:t xml:space="preserve">), which is recommended for most ocean applications. In addition, availability of the “Local (or Ellipsoidal) Incidence Angle Image” (Figure </w:t>
      </w:r>
      <w:hyperlink w:anchor="fig:sar-orb-example-fig1d">
        <w:r>
          <w:rPr>
            <w:rStyle w:val="Hyperlink"/>
          </w:rPr>
          <w:t xml:space="preserve">4</w:t>
        </w:r>
      </w:hyperlink>
      <w:r>
        <w:t xml:space="preserve">) and “Look Direction Image” per-pixel metadata are highly recommended (otherwise the general metadata “Look Direction Polynomials”) since they required for operational applications like ocean wind field estimates.</w:t>
      </w:r>
    </w:p>
    <w:p>
      <w:pPr>
        <w:pStyle w:val="Textkrper"/>
      </w:pPr>
      <w:r>
        <w:t xml:space="preserve">The following figures show Sentinel-1 ORB products of the Tropical Cyclone Harold passing Vanuatu on April 6, 2020:</w:t>
      </w:r>
    </w:p>
    <w:bookmarkStart w:id="281" w:name="fig:sar-orb-example-fig1a"/>
    <w:p>
      <w:pPr>
        <w:pStyle w:val="CaptionedFigure"/>
      </w:pPr>
      <w:r>
        <w:drawing>
          <wp:inline>
            <wp:extent cx="3810000" cy="2540000"/>
            <wp:effectExtent b="0" l="0" r="0" t="0"/>
            <wp:docPr descr="Figure 1: VV intensity; Processing: A. Rosenqvist (soloEO)" title="" id="279" name="Picture"/>
            <a:graphic>
              <a:graphicData uri="http://schemas.openxmlformats.org/drawingml/2006/picture">
                <pic:pic>
                  <pic:nvPicPr>
                    <pic:cNvPr descr="assets/sar-orb-examples/S1-ORB-VV.png" id="280" name="Picture"/>
                    <pic:cNvPicPr>
                      <a:picLocks noChangeArrowheads="1" noChangeAspect="1"/>
                    </pic:cNvPicPr>
                  </pic:nvPicPr>
                  <pic:blipFill>
                    <a:blip r:embed="rId27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1: VV intensity; Processing: A. Rosenqvist (soloEO)</w:t>
      </w:r>
    </w:p>
    <w:bookmarkEnd w:id="281"/>
    <w:bookmarkStart w:id="285" w:name="fig:sar-orb-example-fig1b"/>
    <w:p>
      <w:pPr>
        <w:pStyle w:val="CaptionedFigure"/>
      </w:pPr>
      <w:r>
        <w:drawing>
          <wp:inline>
            <wp:extent cx="3810000" cy="2540000"/>
            <wp:effectExtent b="0" l="0" r="0" t="0"/>
            <wp:docPr descr="Figure 2: VH intensity; Processing: A. Rosenqvist (soloEO)" title="" id="283" name="Picture"/>
            <a:graphic>
              <a:graphicData uri="http://schemas.openxmlformats.org/drawingml/2006/picture">
                <pic:pic>
                  <pic:nvPicPr>
                    <pic:cNvPr descr="assets/sar-orb-examples/S1-ORB-VH.png" id="284" name="Picture"/>
                    <pic:cNvPicPr>
                      <a:picLocks noChangeArrowheads="1" noChangeAspect="1"/>
                    </pic:cNvPicPr>
                  </pic:nvPicPr>
                  <pic:blipFill>
                    <a:blip r:embed="rId28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2: VH intensity; Processing: A. Rosenqvist (soloEO)</w:t>
      </w:r>
    </w:p>
    <w:bookmarkEnd w:id="285"/>
    <w:bookmarkStart w:id="289" w:name="fig:sar-orb-example-fig1c"/>
    <w:p>
      <w:pPr>
        <w:pStyle w:val="CaptionedFigure"/>
      </w:pPr>
      <w:r>
        <w:drawing>
          <wp:inline>
            <wp:extent cx="3810000" cy="2540000"/>
            <wp:effectExtent b="0" l="0" r="0" t="0"/>
            <wp:docPr descr="Figure 3: Data mask image; Processing: A. Rosenqvist (soloEO)" title="" id="287" name="Picture"/>
            <a:graphic>
              <a:graphicData uri="http://schemas.openxmlformats.org/drawingml/2006/picture">
                <pic:pic>
                  <pic:nvPicPr>
                    <pic:cNvPr descr="assets/sar-orb-examples/S1-ORB-data-mask.png" id="288" name="Picture"/>
                    <pic:cNvPicPr>
                      <a:picLocks noChangeArrowheads="1" noChangeAspect="1"/>
                    </pic:cNvPicPr>
                  </pic:nvPicPr>
                  <pic:blipFill>
                    <a:blip r:embed="rId28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Data mask image; Processing: A. Rosenqvist (soloEO)</w:t>
      </w:r>
    </w:p>
    <w:bookmarkEnd w:id="289"/>
    <w:bookmarkStart w:id="293" w:name="fig:sar-orb-example-fig1d"/>
    <w:p>
      <w:pPr>
        <w:pStyle w:val="CaptionedFigure"/>
      </w:pPr>
      <w:r>
        <w:drawing>
          <wp:inline>
            <wp:extent cx="3810000" cy="2540000"/>
            <wp:effectExtent b="0" l="0" r="0" t="0"/>
            <wp:docPr descr="Figure 4: Local incident angle; Processing: A. Rosenqvist (soloEO)" title="" id="291" name="Picture"/>
            <a:graphic>
              <a:graphicData uri="http://schemas.openxmlformats.org/drawingml/2006/picture">
                <pic:pic>
                  <pic:nvPicPr>
                    <pic:cNvPr descr="assets/sar-orb-examples/S1-ORB-local-indicident-angle.png" id="292" name="Picture"/>
                    <pic:cNvPicPr>
                      <a:picLocks noChangeArrowheads="1" noChangeAspect="1"/>
                    </pic:cNvPicPr>
                  </pic:nvPicPr>
                  <pic:blipFill>
                    <a:blip r:embed="rId29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Local incident angle; Processing: A. Rosenqvist (soloEO)</w:t>
      </w:r>
    </w:p>
    <w:bookmarkEnd w:id="293"/>
    <w:p>
      <w:pPr>
        <w:pStyle w:val="Textkrper"/>
      </w:pPr>
      <w:r>
        <w:t xml:space="preserve">Another useful file is the “Mean Wind-Normalised Backscatter Measurements” (Figure </w:t>
      </w:r>
      <w:hyperlink w:anchor="fig:sar-orb-example-fig2b">
        <w:r>
          <w:rPr>
            <w:rStyle w:val="Hyperlink"/>
          </w:rPr>
          <w:t xml:space="preserve">6</w:t>
        </w:r>
      </w:hyperlink>
      <w:r>
        <w:t xml:space="preserve">) which efficiently attenuates intensity variation along range and visually enhances oceanic features. This file is calculated as the ratio between the backscatter intensity and a simulated backscatter intensity image generated using an ocean surface wind model, like CMOD_IRF2</w:t>
      </w:r>
      <w:r>
        <w:t xml:space="preserve"> </w:t>
      </w:r>
      <w:r>
        <w:t xml:space="preserve">(</w:t>
      </w:r>
      <w:hyperlink w:anchor="ref-quilfen1998">
        <w:r>
          <w:rPr>
            <w:rStyle w:val="Hyperlink"/>
          </w:rPr>
          <w:t xml:space="preserve">Yves et al. 1998</w:t>
        </w:r>
      </w:hyperlink>
      <w:r>
        <w:t xml:space="preserve">)</w:t>
      </w:r>
      <w:r>
        <w:t xml:space="preserve"> </w:t>
      </w:r>
      <w:r>
        <w:t xml:space="preserve">for VV polarization or CMOD_IRF2K</w:t>
      </w:r>
      <w:r>
        <w:t xml:space="preserve"> </w:t>
      </w:r>
      <w:r>
        <w:t xml:space="preserve">(</w:t>
      </w:r>
      <w:hyperlink w:anchor="ref-vachon2000">
        <w:r>
          <w:rPr>
            <w:rStyle w:val="Hyperlink"/>
          </w:rPr>
          <w:t xml:space="preserve">Vachon and Dobson 2000</w:t>
        </w:r>
      </w:hyperlink>
      <w:r>
        <w:t xml:space="preserve">)</w:t>
      </w:r>
      <w:r>
        <w:t xml:space="preserve"> </w:t>
      </w:r>
      <w:r>
        <w:t xml:space="preserve">for HH polarization, and the SAR local incidence angle and the look direction information.</w:t>
      </w:r>
    </w:p>
    <w:p>
      <w:pPr>
        <w:pStyle w:val="Textkrper"/>
      </w:pPr>
      <w:r>
        <w:t xml:space="preserve">The following figures show Sentinel-1 EW ORB products:</w:t>
      </w:r>
    </w:p>
    <w:bookmarkStart w:id="297" w:name="fig:sar-orb-example-fig2a"/>
    <w:p>
      <w:pPr>
        <w:pStyle w:val="CaptionedFigure"/>
      </w:pPr>
      <w:r>
        <w:drawing>
          <wp:inline>
            <wp:extent cx="3810000" cy="2540000"/>
            <wp:effectExtent b="0" l="0" r="0" t="0"/>
            <wp:docPr descr="Figure 5: ORB intensity (Sigma-Nought); Processing: G. Hajduch (CLS)" title="" id="295" name="Picture"/>
            <a:graphic>
              <a:graphicData uri="http://schemas.openxmlformats.org/drawingml/2006/picture">
                <pic:pic>
                  <pic:nvPicPr>
                    <pic:cNvPr descr="assets/sar-orb-examples/S1-ORB-sigma-nought.png" id="296" name="Picture"/>
                    <pic:cNvPicPr>
                      <a:picLocks noChangeArrowheads="1" noChangeAspect="1"/>
                    </pic:cNvPicPr>
                  </pic:nvPicPr>
                  <pic:blipFill>
                    <a:blip r:embed="rId29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ORB intensity (Sigma-Nought); Processing: G. Hajduch (CLS)</w:t>
      </w:r>
    </w:p>
    <w:bookmarkEnd w:id="297"/>
    <w:bookmarkStart w:id="301" w:name="fig:sar-orb-example-fig2b"/>
    <w:p>
      <w:pPr>
        <w:pStyle w:val="CaptionedFigure"/>
      </w:pPr>
      <w:r>
        <w:drawing>
          <wp:inline>
            <wp:extent cx="3810000" cy="2540000"/>
            <wp:effectExtent b="0" l="0" r="0" t="0"/>
            <wp:docPr descr="Figure 6: Intensity compensated with the “Mean Wind-Normalised Backscatter Measurement” (i.e., not Sigma-Nought) and geocoded; Processing: G. Hajduch (CLS)" title="" id="299" name="Picture"/>
            <a:graphic>
              <a:graphicData uri="http://schemas.openxmlformats.org/drawingml/2006/picture">
                <pic:pic>
                  <pic:nvPicPr>
                    <pic:cNvPr descr="assets/sar-orb-examples/S1-ORB-intesity-compensated.png" id="300" name="Picture"/>
                    <pic:cNvPicPr>
                      <a:picLocks noChangeArrowheads="1" noChangeAspect="1"/>
                    </pic:cNvPicPr>
                  </pic:nvPicPr>
                  <pic:blipFill>
                    <a:blip r:embed="rId29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Intensity compensated with the “Mean Wind-Normalised Backscatter Measurement” (i.e., not Sigma-Nought) and geocoded; Processing: G. Hajduch (CLS)</w:t>
      </w:r>
    </w:p>
    <w:bookmarkEnd w:id="301"/>
    <w:bookmarkEnd w:id="302"/>
    <w:bookmarkEnd w:id="303"/>
    <w:bookmarkEnd w:id="30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7">
    <w:p>
      <w:pPr>
        <w:pStyle w:val="Funotentext"/>
      </w:pPr>
      <w:r>
        <w:rPr>
          <w:rStyle w:val="Funotenzeichen"/>
        </w:rPr>
        <w:footnoteRef/>
      </w:r>
      <w:r>
        <w:t xml:space="preserve"> </w:t>
      </w:r>
      <w:r>
        <w:t xml:space="preserve">The look direction angle represents the planar angle between north and each range direction. It is not constant in range, especially close to the poles.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82" Target="media/rId282.png" /><Relationship Type="http://schemas.openxmlformats.org/officeDocument/2006/relationships/image" Id="rId278" Target="media/rId278.png" /><Relationship Type="http://schemas.openxmlformats.org/officeDocument/2006/relationships/image" Id="rId286" Target="media/rId286.png" /><Relationship Type="http://schemas.openxmlformats.org/officeDocument/2006/relationships/image" Id="rId298" Target="media/rId298.png" /><Relationship Type="http://schemas.openxmlformats.org/officeDocument/2006/relationships/image" Id="rId290" Target="media/rId290.png" /><Relationship Type="http://schemas.openxmlformats.org/officeDocument/2006/relationships/image" Id="rId294" Target="media/rId294.png" /><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Ocean Radar Backscatter - Version 1.1.0-draft</dc:title>
  <dc:creator/>
  <dc:language>en</dc:language>
  <cp:keywords/>
  <dcterms:created xsi:type="dcterms:W3CDTF">2026-09-15T18:50:15Z</dcterms:created>
  <dcterms:modified xsi:type="dcterms:W3CDTF">2026-09-15T18:50:15Z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/home/runner/work/ceos-ard/ceos-ard/build/ORB.bib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