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Override PartName="/word/media/rId334.png" ContentType="image/png"/>
  <Override PartName="/word/media/rId338.png" ContentType="image/png"/>
  <Override PartName="/word/media/rId342.png" ContentType="image/png"/>
  <Override PartName="/word/media/rId318.jpg" ContentType="image/jpeg"/>
  <Override PartName="/word/media/rId322.jpg" ContentType="image/jpeg"/>
  <Override PartName="/word/media/rId326.png" ContentType="image/png"/>
  <Override PartName="/word/media/rId3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48" w:name="X8d64603d4f68efbf8b51a1fead1c840b36ed8a3"/>
    <w:p>
      <w:pPr>
        <w:pStyle w:val="berschrift1"/>
      </w:pPr>
      <w:r>
        <w:t xml:space="preserve">CEOS-ARD - Synthetic Aperture Radar - Geocoded Single-Look Complex</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Geocoded Single-Look Complex</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minor"/>
    <w:p>
      <w:pPr>
        <w:pStyle w:val="berschrift3"/>
      </w:pPr>
      <w:r>
        <w:t xml:space="preserve">2026-07-20 (MINOR)</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Moved the Background paragraph about the commonalities and differences in the SAR PFSes to the Introduction</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Annex has been reformatted and updated as required by the split</w:t>
      </w:r>
    </w:p>
    <w:p>
      <w:pPr>
        <w:pStyle w:val="Compact"/>
        <w:numPr>
          <w:ilvl w:val="0"/>
          <w:numId w:val="1001"/>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v1.3.1</w:t>
        </w:r>
      </w:hyperlink>
      <w:r>
        <w:t xml:space="preserve"> </w:t>
      </w:r>
      <w:r>
        <w:t xml:space="preserve">for product type</w:t>
      </w:r>
      <w:r>
        <w:t xml:space="preserve"> </w:t>
      </w:r>
      <w:r>
        <w:rPr>
          <w:b/>
          <w:bCs/>
        </w:rPr>
        <w:t xml:space="preserve">Geocoded Single-Look Complex (GSLC)</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Kimberlee Baldry, Geoscience Australia,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Jayasri Poludasu, ISRO, India</w:t>
      </w:r>
    </w:p>
    <w:p>
      <w:pPr>
        <w:pStyle w:val="Compact"/>
        <w:numPr>
          <w:ilvl w:val="0"/>
          <w:numId w:val="1002"/>
        </w:numPr>
      </w:pPr>
      <w:r>
        <w:t xml:space="preserve">Josef Kellndorfer, Earth Big Data, USA</w:t>
      </w:r>
    </w:p>
    <w:p>
      <w:pPr>
        <w:pStyle w:val="Compact"/>
        <w:numPr>
          <w:ilvl w:val="0"/>
          <w:numId w:val="1002"/>
        </w:numPr>
      </w:pPr>
      <w:r>
        <w:t xml:space="preserve">Joseph Kennedy, Alaska Satellite Facility,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Matthias Mohr, moreGeo GmbH, Germany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Usha Sundari, ISRO, India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Geocoded Single-Look Complex (GSLC)</w:t>
      </w:r>
    </w:p>
    <w:p>
      <w:pPr>
        <w:pStyle w:val="Textkrper"/>
      </w:pPr>
      <w:r>
        <w:rPr>
          <w:b/>
          <w:bCs/>
        </w:rPr>
        <w:t xml:space="preserve">Version:</w:t>
      </w:r>
      <w:r>
        <w:t xml:space="preserve"> </w:t>
      </w:r>
      <w:r>
        <w:t xml:space="preserve">2.0.0-draft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Geocoded Single-Look Complex (GSLC) product is relevant to interferometric studies.</w:t>
      </w:r>
      <w:r>
        <w:t xml:space="preserve"> </w:t>
      </w:r>
      <w:r>
        <w:t xml:space="preserve">The GSLC product is derived from the range-Doppler (i.e. slant range) Single-Look Complex (SLC) product using a DEM and the orbital state vectors and output in the map projected system.</w:t>
      </w:r>
      <w:r>
        <w:t xml:space="preserve"> </w:t>
      </w:r>
      <w:r>
        <w:t xml:space="preserve">The phase of a geocoded SLC is “flattened” with respect to a reference orbit and to a DEM, to eliminate topographic phase contributions</w:t>
      </w:r>
      <w:r>
        <w:t xml:space="preserve"> </w:t>
      </w:r>
      <w:r>
        <w:t xml:space="preserve">(</w:t>
      </w:r>
      <w:hyperlink w:anchor="ref-zebker2017">
        <w:r>
          <w:rPr>
            <w:rStyle w:val="Hyperlink"/>
          </w:rPr>
          <w:t xml:space="preserve">Zebker 2017</w:t>
        </w:r>
      </w:hyperlink>
      <w:r>
        <w:t xml:space="preserve">;</w:t>
      </w:r>
      <w:r>
        <w:t xml:space="preserve"> </w:t>
      </w:r>
      <w:hyperlink w:anchor="ref-zheng2017">
        <w:r>
          <w:rPr>
            <w:rStyle w:val="Hyperlink"/>
          </w:rPr>
          <w:t xml:space="preserve">Zheng and Zebker 2017</w:t>
        </w:r>
      </w:hyperlink>
      <w:r>
        <w:t xml:space="preserve">)</w:t>
      </w:r>
      <w:r>
        <w:t xml:space="preserve">.</w:t>
      </w:r>
      <w:r>
        <w:t xml:space="preserve"> </w:t>
      </w:r>
      <w:r>
        <w:t xml:space="preserve">The sample spacing of the GSLC product in the map coordinate directions is comparable to the full resolution original SLC product.</w:t>
      </w:r>
      <w:r>
        <w:t xml:space="preserve"> </w:t>
      </w:r>
      <w:r>
        <w:t xml:space="preserve">The GSLC product can be directly overlaid on a map or combined with other similar GSLC products to derive interferograms and create change maps, for example.</w:t>
      </w:r>
      <w:r>
        <w:t xml:space="preserve"> </w:t>
      </w:r>
      <w:r>
        <w:t xml:space="preserve">Since the GSLC phase is flattened, the phase difference between two GSLC products acquired on a same relative orbit produces an interferogram referring only to surface displacement and noise (i.e., no topographic fringes).</w:t>
      </w:r>
      <w:r>
        <w:t xml:space="preserve"> </w:t>
      </w:r>
      <w:r>
        <w:t xml:space="preserve">The GSLC product may optionally be radiometrically terrain corrected such that the squared amplitude yields</w:t>
      </w:r>
      <w:r>
        <w:t xml:space="preserve"> </w:t>
      </w:r>
      <m:oMath>
        <m:sSubSup>
          <m:e>
            <m:r>
              <m:t>γ</m:t>
            </m:r>
          </m:e>
          <m:sub>
            <m:r>
              <m:t>T</m:t>
            </m:r>
          </m:sub>
          <m:sup>
            <m:r>
              <m:t>0</m:t>
            </m:r>
          </m:sup>
        </m:sSubSup>
      </m:oMath>
      <w:r>
        <w:t xml:space="preserve">.</w:t>
      </w:r>
    </w:p>
    <w:p>
      <w:r>
        <w:br w:type="page"/>
      </w:r>
    </w:p>
    <w:bookmarkEnd w:id="36"/>
    <w:bookmarkStart w:id="37"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ECEF</w:t>
      </w:r>
    </w:p>
    <w:p>
      <w:pPr>
        <w:pStyle w:val="Definition"/>
      </w:pPr>
      <w:r>
        <w:t xml:space="preserve">Earth-Centred Earth-Fixed</w:t>
      </w:r>
    </w:p>
    <w:p>
      <w:pPr>
        <w:pStyle w:val="DefinitionTerm"/>
      </w:pPr>
      <w:r>
        <w:t xml:space="preserve">ECR</w:t>
      </w:r>
    </w:p>
    <w:p>
      <w:pPr>
        <w:pStyle w:val="Definition"/>
      </w:pPr>
      <w:r>
        <w:t xml:space="preserve">Earth-Centred Rotating</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InSAR</w:t>
      </w:r>
    </w:p>
    <w:p>
      <w:pPr>
        <w:pStyle w:val="Definition"/>
      </w:pPr>
      <w:r>
        <w:t xml:space="preserve">Interferometric Radar</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269"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4"/>
    <w:bookmarkStart w:id="55" w:name="goal-requirements-4"/>
    <w:p>
      <w:pPr>
        <w:pStyle w:val="berschrift5"/>
      </w:pPr>
      <w:r>
        <w:t xml:space="preserve">Goal requirements:</w:t>
      </w:r>
    </w:p>
    <w:p>
      <w:pPr>
        <w:pStyle w:val="FirstParagraph"/>
      </w:pPr>
      <w:r>
        <w:t xml:space="preserve">As threshold, but using ISO 8601 time format.</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2"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using</w:t>
      </w:r>
      <w:r>
        <w:t xml:space="preserve"> </w:t>
      </w:r>
      <w:hyperlink r:id="rId68">
        <w:r>
          <w:rPr>
            <w:rStyle w:val="Hyperlink"/>
          </w:rPr>
          <w:t xml:space="preserve">CEOS Mission-Instruments-Measurements (MIM) database</w:t>
        </w:r>
      </w:hyperlink>
      <w:r>
        <w:t xml:space="preserve"> </w:t>
      </w:r>
      <w:r>
        <w:t xml:space="preserve">as reference.</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src-orbit-gslc"/>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src-orbit-gslc</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 see note</w:t>
      </w:r>
    </w:p>
    <w:p>
      <w:pPr>
        <w:pStyle w:val="Compact"/>
        <w:numPr>
          <w:ilvl w:val="0"/>
          <w:numId w:val="1016"/>
        </w:numPr>
      </w:pPr>
      <w:r>
        <w:t xml:space="preserve">Orbit data source (e.g., predicted, definite, precise, downlinked, etc.)</w:t>
      </w:r>
    </w:p>
    <w:p>
      <w:pPr>
        <w:pStyle w:val="Compact"/>
        <w:numPr>
          <w:ilvl w:val="0"/>
          <w:numId w:val="1016"/>
        </w:numPr>
      </w:pPr>
      <w:r>
        <w:t xml:space="preserve">Relative orbit number, if defined</w:t>
      </w:r>
    </w:p>
    <w:p>
      <w:pPr>
        <w:pStyle w:val="FirstParagraph"/>
      </w:pPr>
      <w:r>
        <w:t xml:space="preserve">Note:</w:t>
      </w:r>
    </w:p>
    <w:p>
      <w:pPr>
        <w:pStyle w:val="Compact"/>
        <w:numPr>
          <w:ilvl w:val="0"/>
          <w:numId w:val="1017"/>
        </w:numPr>
      </w:pPr>
      <w:r>
        <w:t xml:space="preserve">For source data crossing the North or South Pole, it is recommended to produce two distinct CEOS-ARD products and to use the appropriate “Pass direction” in each.</w:t>
      </w:r>
    </w:p>
    <w:bookmarkEnd w:id="80"/>
    <w:bookmarkStart w:id="81" w:name="goal-requirements-10"/>
    <w:p>
      <w:pPr>
        <w:pStyle w:val="berschrift5"/>
      </w:pPr>
      <w:r>
        <w:t xml:space="preserve">Goal requirements:</w:t>
      </w:r>
    </w:p>
    <w:p>
      <w:pPr>
        <w:pStyle w:val="FirstParagraph"/>
      </w:pPr>
      <w:r>
        <w:t xml:space="preserve">As threshold, including also:</w:t>
      </w:r>
    </w:p>
    <w:p>
      <w:pPr>
        <w:pStyle w:val="Compact"/>
        <w:numPr>
          <w:ilvl w:val="0"/>
          <w:numId w:val="1018"/>
        </w:numPr>
      </w:pPr>
      <w:r>
        <w:t xml:space="preserve">Platform heading angle expressed in degrees (0-360) from North</w:t>
      </w:r>
    </w:p>
    <w:p>
      <w:pPr>
        <w:pStyle w:val="Compact"/>
        <w:numPr>
          <w:ilvl w:val="0"/>
          <w:numId w:val="1018"/>
        </w:numPr>
      </w:pPr>
      <w:r>
        <w:t xml:space="preserve">Orbit data file containing state vectors (minimum of 5 state vectors, from 10% of scene length</w:t>
      </w:r>
      <w:r>
        <w:t xml:space="preserve"> </w:t>
      </w:r>
      <w:r>
        <w:rPr>
          <w:i/>
          <w:iCs/>
        </w:rPr>
        <w:t xml:space="preserve">before</w:t>
      </w:r>
      <w:r>
        <w:t xml:space="preserve"> </w:t>
      </w:r>
      <w:r>
        <w:t xml:space="preserve">start time to 10% of scene length</w:t>
      </w:r>
      <w:r>
        <w:t xml:space="preserve"> </w:t>
      </w:r>
      <w:r>
        <w:rPr>
          <w:i/>
          <w:iCs/>
        </w:rPr>
        <w:t xml:space="preserve">after</w:t>
      </w:r>
      <w:r>
        <w:t xml:space="preserve"> </w:t>
      </w:r>
      <w:r>
        <w:t xml:space="preserve">stop time)</w:t>
      </w:r>
    </w:p>
    <w:p>
      <w:pPr>
        <w:pStyle w:val="Compact"/>
        <w:numPr>
          <w:ilvl w:val="0"/>
          <w:numId w:val="1018"/>
        </w:numPr>
      </w:pPr>
      <w:r>
        <w:t xml:space="preserve">Platform (mean) altitude</w:t>
      </w:r>
    </w:p>
    <w:p>
      <w:pPr>
        <w:pStyle w:val="Compact"/>
        <w:numPr>
          <w:ilvl w:val="0"/>
          <w:numId w:val="1018"/>
        </w:numPr>
      </w:pPr>
      <w:r>
        <w:t xml:space="preserve">Absolute orbit number</w:t>
      </w:r>
    </w:p>
    <w:p>
      <w:pPr>
        <w:pStyle w:val="Compact"/>
        <w:numPr>
          <w:ilvl w:val="0"/>
          <w:numId w:val="1018"/>
        </w:numPr>
      </w:pPr>
      <w:r>
        <w:t xml:space="preserve">Perpendicular baseline to virtual orbit or reference orbit used for phase correction</w:t>
      </w:r>
    </w:p>
    <w:bookmarkEnd w:id="81"/>
    <w:bookmarkStart w:id="82" w:name="assessment-10"/>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20"/>
        </w:numPr>
      </w:pPr>
      <w:r>
        <w:t xml:space="preserve">Processing facility</w:t>
      </w:r>
    </w:p>
    <w:p>
      <w:pPr>
        <w:pStyle w:val="Compact"/>
        <w:numPr>
          <w:ilvl w:val="0"/>
          <w:numId w:val="1020"/>
        </w:numPr>
      </w:pPr>
      <w:r>
        <w:t xml:space="preserve">Processing date</w:t>
      </w:r>
    </w:p>
    <w:p>
      <w:pPr>
        <w:pStyle w:val="Compact"/>
        <w:numPr>
          <w:ilvl w:val="0"/>
          <w:numId w:val="1020"/>
        </w:numPr>
      </w:pPr>
      <w:r>
        <w:t xml:space="preserve">Software version</w:t>
      </w:r>
    </w:p>
    <w:p>
      <w:pPr>
        <w:pStyle w:val="Compact"/>
        <w:numPr>
          <w:ilvl w:val="0"/>
          <w:numId w:val="1020"/>
        </w:numPr>
      </w:pPr>
      <w:r>
        <w:t xml:space="preserve">Product level</w:t>
      </w:r>
    </w:p>
    <w:p>
      <w:pPr>
        <w:pStyle w:val="Compact"/>
        <w:numPr>
          <w:ilvl w:val="0"/>
          <w:numId w:val="1020"/>
        </w:numPr>
      </w:pPr>
      <w:r>
        <w:t xml:space="preserve">Product ID (file name)</w:t>
      </w:r>
    </w:p>
    <w:p>
      <w:pPr>
        <w:pStyle w:val="Compact"/>
        <w:numPr>
          <w:ilvl w:val="0"/>
          <w:numId w:val="1020"/>
        </w:numPr>
      </w:pPr>
      <w:r>
        <w:t xml:space="preserve">Azimuth number of looks</w:t>
      </w:r>
    </w:p>
    <w:p>
      <w:pPr>
        <w:pStyle w:val="Compact"/>
        <w:numPr>
          <w:ilvl w:val="0"/>
          <w:numId w:val="1020"/>
        </w:numPr>
      </w:pPr>
      <w:r>
        <w:t xml:space="preserve">Range number of looks (separate values for each beam, as necessary)</w:t>
      </w:r>
    </w:p>
    <w:p>
      <w:pPr>
        <w:pStyle w:val="FirstParagraph"/>
      </w:pPr>
      <w:r>
        <w:t xml:space="preserve">Note:</w:t>
      </w:r>
    </w:p>
    <w:p>
      <w:pPr>
        <w:pStyle w:val="Compact"/>
        <w:numPr>
          <w:ilvl w:val="0"/>
          <w:numId w:val="1021"/>
        </w:numPr>
      </w:pPr>
      <w:r>
        <w:t xml:space="preserve">Azimuth and Range number of looks are not required when sources are CEOS-ARD or any other geocoded products</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3"/>
        </w:numPr>
      </w:pPr>
      <w:r>
        <w:t xml:space="preserve">Source data geometry (slant range/ground range/geocoded)</w:t>
      </w:r>
    </w:p>
    <w:p>
      <w:pPr>
        <w:pStyle w:val="Compact"/>
        <w:numPr>
          <w:ilvl w:val="0"/>
          <w:numId w:val="1023"/>
        </w:numPr>
      </w:pPr>
      <w:r>
        <w:t xml:space="preserve">Azimuth pixel spacing [m] (alternatively, azimuth pixel spacing can be provided in second [s], equivalent to the azimuth time sample interval)</w:t>
      </w:r>
    </w:p>
    <w:p>
      <w:pPr>
        <w:pStyle w:val="Compact"/>
        <w:numPr>
          <w:ilvl w:val="0"/>
          <w:numId w:val="1023"/>
        </w:numPr>
      </w:pPr>
      <w:r>
        <w:t xml:space="preserve">Range pixel spacing</w:t>
      </w:r>
    </w:p>
    <w:p>
      <w:pPr>
        <w:pStyle w:val="Compact"/>
        <w:numPr>
          <w:ilvl w:val="0"/>
          <w:numId w:val="1023"/>
        </w:numPr>
      </w:pPr>
      <w:r>
        <w:t xml:space="preserve">Azimuth resolution</w:t>
      </w:r>
    </w:p>
    <w:p>
      <w:pPr>
        <w:pStyle w:val="Compact"/>
        <w:numPr>
          <w:ilvl w:val="0"/>
          <w:numId w:val="1023"/>
        </w:numPr>
      </w:pPr>
      <w:r>
        <w:t xml:space="preserve">Range resolution</w:t>
      </w:r>
    </w:p>
    <w:p>
      <w:pPr>
        <w:pStyle w:val="Compact"/>
        <w:numPr>
          <w:ilvl w:val="0"/>
          <w:numId w:val="1023"/>
        </w:numPr>
      </w:pPr>
      <w:r>
        <w:t xml:space="preserve">Near range incident angle</w:t>
      </w:r>
    </w:p>
    <w:p>
      <w:pPr>
        <w:pStyle w:val="Compact"/>
        <w:numPr>
          <w:ilvl w:val="0"/>
          <w:numId w:val="1023"/>
        </w:numPr>
      </w:pPr>
      <w:r>
        <w:t xml:space="preserve">Far range incident angle</w:t>
      </w:r>
    </w:p>
    <w:p>
      <w:pPr>
        <w:pStyle w:val="FirstParagraph"/>
      </w:pPr>
      <w:r>
        <w:t xml:space="preserve">Note:</w:t>
      </w:r>
    </w:p>
    <w:p>
      <w:pPr>
        <w:pStyle w:val="Compact"/>
        <w:numPr>
          <w:ilvl w:val="0"/>
          <w:numId w:val="1024"/>
        </w:numPr>
      </w:pPr>
      <w:r>
        <w:t xml:space="preserve">For geocoded sources such as GSLC and InSAR, Azimuth and Range pixel spacing are replaced by line (row) and pixel (column) spacing information. Spatial resolution information is not required for geocoded sources.</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bookmarkEnd w:id="110"/>
    <w:bookmarkEnd w:id="111"/>
    <w:bookmarkEnd w:id="112"/>
    <w:bookmarkStart w:id="169"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31"/>
        </w:numPr>
      </w:pPr>
      <w:r>
        <w:t xml:space="preserve">Processing facility</w:t>
      </w:r>
    </w:p>
    <w:p>
      <w:pPr>
        <w:pStyle w:val="Compact"/>
        <w:numPr>
          <w:ilvl w:val="0"/>
          <w:numId w:val="1031"/>
        </w:numPr>
      </w:pPr>
      <w:r>
        <w:t xml:space="preserve">Processing date</w:t>
      </w:r>
    </w:p>
    <w:p>
      <w:pPr>
        <w:pStyle w:val="Compact"/>
        <w:numPr>
          <w:ilvl w:val="0"/>
          <w:numId w:val="1031"/>
        </w:numPr>
      </w:pPr>
      <w:r>
        <w:t xml:space="preserve">Software version</w:t>
      </w:r>
    </w:p>
    <w:p>
      <w:pPr>
        <w:pStyle w:val="Compact"/>
        <w:numPr>
          <w:ilvl w:val="0"/>
          <w:numId w:val="1031"/>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3"/>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5"/>
        </w:numPr>
      </w:pPr>
      <w:r>
        <w:t xml:space="preserve">Pixel (column) spacing</w:t>
      </w:r>
    </w:p>
    <w:p>
      <w:pPr>
        <w:pStyle w:val="Compact"/>
        <w:numPr>
          <w:ilvl w:val="0"/>
          <w:numId w:val="1035"/>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3"/>
    <w:bookmarkEnd w:id="124"/>
    <w:bookmarkStart w:id="128" w:name="sec:prd-resol"/>
    <w:p>
      <w:pPr>
        <w:pStyle w:val="berschrift4"/>
      </w:pPr>
      <w:r>
        <w:rPr>
          <w:rStyle w:val="VerbatimChar"/>
        </w:rPr>
        <w:t xml:space="preserve">3.4.</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Average spatial resolution of the CEOS-ARD product along:</w:t>
      </w:r>
    </w:p>
    <w:p>
      <w:pPr>
        <w:pStyle w:val="Compact"/>
        <w:numPr>
          <w:ilvl w:val="0"/>
          <w:numId w:val="1037"/>
        </w:numPr>
      </w:pPr>
      <w:r>
        <w:t xml:space="preserve">Columns</w:t>
      </w:r>
    </w:p>
    <w:p>
      <w:pPr>
        <w:pStyle w:val="Compact"/>
        <w:numPr>
          <w:ilvl w:val="0"/>
          <w:numId w:val="1037"/>
        </w:numPr>
      </w:pPr>
      <w:r>
        <w:t xml:space="preserve">Rows</w:t>
      </w:r>
    </w:p>
    <w:bookmarkEnd w:id="126"/>
    <w:bookmarkStart w:id="127" w:name="assessment-21"/>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27"/>
    <w:bookmarkEnd w:id="128"/>
    <w:bookmarkStart w:id="132" w:name="sec:prd-geobbox"/>
    <w:p>
      <w:pPr>
        <w:pStyle w:val="berschrift4"/>
      </w:pPr>
      <w:r>
        <w:rPr>
          <w:rStyle w:val="VerbatimChar"/>
        </w:rPr>
        <w:t xml:space="preserve">3.5.</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29" w:name="threshold-requirements-22"/>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29"/>
    <w:bookmarkStart w:id="130" w:name="goal-requirements-22"/>
    <w:p>
      <w:pPr>
        <w:pStyle w:val="berschrift5"/>
      </w:pPr>
      <w:r>
        <w:t xml:space="preserve">Goal requirements:</w:t>
      </w:r>
    </w:p>
    <w:p>
      <w:pPr>
        <w:pStyle w:val="FirstParagraph"/>
      </w:pPr>
      <w:r>
        <w:t xml:space="preserve">As threshold.</w:t>
      </w:r>
      <w:r>
        <w:t xml:space="preserve"> </w:t>
      </w:r>
    </w:p>
    <w:bookmarkEnd w:id="130"/>
    <w:bookmarkStart w:id="131" w:name="assessment-22"/>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1"/>
    <w:bookmarkEnd w:id="132"/>
    <w:bookmarkStart w:id="136" w:name="sec:prd-geoarea-sar"/>
    <w:p>
      <w:pPr>
        <w:pStyle w:val="berschrift4"/>
      </w:pPr>
      <w:r>
        <w:rPr>
          <w:rStyle w:val="VerbatimChar"/>
        </w:rPr>
        <w:t xml:space="preserve">3.6.</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33" w:name="threshold-requirements-23"/>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40"/>
        </w:numPr>
      </w:pPr>
      <w:r>
        <w:t xml:space="preserve">Threshold Self-Assessment:</w:t>
      </w:r>
    </w:p>
    <w:p>
      <w:pPr>
        <w:pStyle w:val="Compact"/>
        <w:numPr>
          <w:ilvl w:val="0"/>
          <w:numId w:val="1040"/>
        </w:numPr>
      </w:pPr>
      <w:r>
        <w:t xml:space="preserve">Goal Self-Assessment:</w:t>
      </w:r>
    </w:p>
    <w:p>
      <w:pPr>
        <w:pStyle w:val="Compact"/>
        <w:numPr>
          <w:ilvl w:val="0"/>
          <w:numId w:val="1040"/>
        </w:numPr>
      </w:pPr>
      <w:r>
        <w:t xml:space="preserve">Self-Assessment Explanation/ Justification:</w:t>
      </w:r>
    </w:p>
    <w:p>
      <w:pPr>
        <w:pStyle w:val="Compact"/>
        <w:numPr>
          <w:ilvl w:val="0"/>
          <w:numId w:val="1040"/>
        </w:numPr>
      </w:pPr>
      <w:r>
        <w:t xml:space="preserve">Recommended Requirement Modification:</w:t>
      </w:r>
    </w:p>
    <w:p>
      <w:r>
        <w:pict>
          <v:rect style="width:0;height:1.5pt" o:hralign="center" o:hrstd="t" o:hr="t"/>
        </w:pict>
      </w:r>
    </w:p>
    <w:bookmarkEnd w:id="135"/>
    <w:bookmarkEnd w:id="136"/>
    <w:bookmarkStart w:id="140" w:name="sec:prd-imgsize"/>
    <w:p>
      <w:pPr>
        <w:pStyle w:val="berschrift4"/>
      </w:pPr>
      <w:r>
        <w:rPr>
          <w:rStyle w:val="VerbatimChar"/>
        </w:rPr>
        <w:t xml:space="preserve">3.7.</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37" w:name="threshold-requirements-24"/>
    <w:p>
      <w:pPr>
        <w:pStyle w:val="berschrift5"/>
      </w:pPr>
      <w:r>
        <w:t xml:space="preserve">Threshold requirements:</w:t>
      </w:r>
    </w:p>
    <w:p>
      <w:pPr>
        <w:pStyle w:val="FirstParagraph"/>
      </w:pPr>
      <w:r>
        <w:t xml:space="preserve">Image attributes of the CEOS-ARD product:</w:t>
      </w:r>
    </w:p>
    <w:p>
      <w:pPr>
        <w:pStyle w:val="Compact"/>
        <w:numPr>
          <w:ilvl w:val="0"/>
          <w:numId w:val="1041"/>
        </w:numPr>
      </w:pPr>
      <w:r>
        <w:t xml:space="preserve">Number of lines</w:t>
      </w:r>
    </w:p>
    <w:p>
      <w:pPr>
        <w:pStyle w:val="Compact"/>
        <w:numPr>
          <w:ilvl w:val="0"/>
          <w:numId w:val="1041"/>
        </w:numPr>
      </w:pPr>
      <w:r>
        <w:t xml:space="preserve">Number of pixels per line</w:t>
      </w:r>
    </w:p>
    <w:p>
      <w:pPr>
        <w:pStyle w:val="Compact"/>
        <w:numPr>
          <w:ilvl w:val="0"/>
          <w:numId w:val="1041"/>
        </w:numPr>
      </w:pPr>
      <w:r>
        <w:t xml:space="preserve">File header size (if applicable)</w:t>
      </w:r>
    </w:p>
    <w:p>
      <w:pPr>
        <w:pStyle w:val="Compact"/>
        <w:numPr>
          <w:ilvl w:val="0"/>
          <w:numId w:val="1041"/>
        </w:numPr>
      </w:pPr>
      <w:r>
        <w:t xml:space="preserve">Number of no-data border pixels (if applicable)</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39"/>
    <w:bookmarkEnd w:id="140"/>
    <w:bookmarkStart w:id="144" w:name="sec:prd-pixcoco"/>
    <w:p>
      <w:pPr>
        <w:pStyle w:val="berschrift4"/>
      </w:pPr>
      <w:r>
        <w:rPr>
          <w:rStyle w:val="VerbatimChar"/>
        </w:rPr>
        <w:t xml:space="preserve">3.8.</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1" w:name="threshold-requirements-25"/>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43"/>
    <w:bookmarkEnd w:id="144"/>
    <w:bookmarkStart w:id="148" w:name="sec:prd-crs-sar"/>
    <w:p>
      <w:pPr>
        <w:pStyle w:val="berschrift4"/>
      </w:pPr>
      <w:r>
        <w:rPr>
          <w:rStyle w:val="VerbatimChar"/>
        </w:rPr>
        <w:t xml:space="preserve">3.9.</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45" w:name="threshold-requirements-26"/>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47"/>
    <w:bookmarkEnd w:id="148"/>
    <w:bookmarkStart w:id="152" w:name="sec:prd-rulvec"/>
    <w:p>
      <w:pPr>
        <w:pStyle w:val="berschrift4"/>
      </w:pPr>
      <w:r>
        <w:rPr>
          <w:rStyle w:val="VerbatimChar"/>
        </w:rPr>
        <w:t xml:space="preserve">3.10.</w:t>
      </w:r>
      <w:r>
        <w:t xml:space="preserve"> </w:t>
      </w:r>
      <w:r>
        <w:t xml:space="preserve">Radar Unit Look Vector</w:t>
      </w:r>
    </w:p>
    <w:p>
      <w:pPr>
        <w:pStyle w:val="FirstParagraph"/>
      </w:pPr>
      <w:r>
        <w:t xml:space="preserve">Identifier:</w:t>
      </w:r>
      <w:r>
        <w:t xml:space="preserve"> </w:t>
      </w:r>
      <w:r>
        <w:rPr>
          <w:rStyle w:val="VerbatimChar"/>
        </w:rPr>
        <w:t xml:space="preserve">prd-rulvec</w:t>
      </w:r>
    </w:p>
    <w:bookmarkStart w:id="149" w:name="threshold-requirements-27"/>
    <w:p>
      <w:pPr>
        <w:pStyle w:val="berschrift5"/>
      </w:pPr>
      <w:r>
        <w:t xml:space="preserve">Threshold requirements:</w:t>
      </w:r>
    </w:p>
    <w:p>
      <w:pPr>
        <w:pStyle w:val="FirstParagraph"/>
      </w:pPr>
      <w:r>
        <w:t xml:space="preserve">3-D components radar unit look vector, specified at centre of scene, in an Earth-Centred Earth-Fixed (ECEF) coordinate system (also called Earth Centred Rotating - ECR) is provided.</w:t>
      </w:r>
      <w:r>
        <w:t xml:space="preserve"> </w:t>
      </w:r>
      <w:r>
        <w:t xml:space="preserve">It consists of unit vectors from antenna to surface pixel (i.e., positive Z component).</w:t>
      </w:r>
    </w:p>
    <w:p>
      <w:pPr>
        <w:pStyle w:val="Textkrper"/>
      </w:pPr>
      <w:r>
        <w:t xml:space="preserve">Only required if the corresponding per-pixel metadata</w:t>
      </w:r>
      <w:r>
        <w:t xml:space="preserve"> </w:t>
      </w:r>
      <w:hyperlink w:anchor="sec:pxl-radulov-gslc">
        <w:r>
          <w:rPr>
            <w:rStyle w:val="Hyperlink"/>
          </w:rPr>
          <w:t xml:space="preserve">Per-Pixel Metadata: Radar Unit Look Vector Grid Image</w:t>
        </w:r>
      </w:hyperlink>
      <w:r>
        <w:t xml:space="preserve"> </w:t>
      </w:r>
      <w:r>
        <w:t xml:space="preserve">is</w:t>
      </w:r>
      <w:r>
        <w:t xml:space="preserve"> </w:t>
      </w:r>
      <w:r>
        <w:rPr>
          <w:b/>
          <w:bCs/>
        </w:rPr>
        <w:t xml:space="preserve">not</w:t>
      </w:r>
      <w:r>
        <w:t xml:space="preserve"> </w:t>
      </w:r>
      <w:r>
        <w:t xml:space="preserve">provided.</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5"/>
        </w:numPr>
      </w:pPr>
      <w:r>
        <w:t xml:space="preserve">Threshold Self-Assessment:</w:t>
      </w:r>
    </w:p>
    <w:p>
      <w:pPr>
        <w:pStyle w:val="Compact"/>
        <w:numPr>
          <w:ilvl w:val="0"/>
          <w:numId w:val="1045"/>
        </w:numPr>
      </w:pPr>
      <w:r>
        <w:t xml:space="preserve">Goal Self-Assessment:</w:t>
      </w:r>
    </w:p>
    <w:p>
      <w:pPr>
        <w:pStyle w:val="Compact"/>
        <w:numPr>
          <w:ilvl w:val="0"/>
          <w:numId w:val="1045"/>
        </w:numPr>
      </w:pPr>
      <w:r>
        <w:t xml:space="preserve">Self-Assessment Explanation/ Justification:</w:t>
      </w:r>
    </w:p>
    <w:p>
      <w:pPr>
        <w:pStyle w:val="Compact"/>
        <w:numPr>
          <w:ilvl w:val="0"/>
          <w:numId w:val="1045"/>
        </w:numPr>
      </w:pPr>
      <w:r>
        <w:t xml:space="preserve">Recommended Requirement Modification:</w:t>
      </w:r>
    </w:p>
    <w:p>
      <w:r>
        <w:pict>
          <v:rect style="width:0;height:1.5pt" o:hralign="center" o:hrstd="t" o:hr="t"/>
        </w:pict>
      </w:r>
    </w:p>
    <w:bookmarkEnd w:id="151"/>
    <w:bookmarkEnd w:id="152"/>
    <w:bookmarkStart w:id="156" w:name="sec:prd-slarass"/>
    <w:p>
      <w:pPr>
        <w:pStyle w:val="berschrift4"/>
      </w:pPr>
      <w:r>
        <w:rPr>
          <w:rStyle w:val="VerbatimChar"/>
        </w:rPr>
        <w:t xml:space="preserve">3.11.</w:t>
      </w:r>
      <w:r>
        <w:t xml:space="preserve"> </w:t>
      </w:r>
      <w:r>
        <w:t xml:space="preserve">Slant Range Sensor to Surface</w:t>
      </w:r>
    </w:p>
    <w:p>
      <w:pPr>
        <w:pStyle w:val="FirstParagraph"/>
      </w:pPr>
      <w:r>
        <w:t xml:space="preserve">Identifier:</w:t>
      </w:r>
      <w:r>
        <w:t xml:space="preserve"> </w:t>
      </w:r>
      <w:r>
        <w:rPr>
          <w:rStyle w:val="VerbatimChar"/>
        </w:rPr>
        <w:t xml:space="preserve">prd-slarass</w:t>
      </w:r>
    </w:p>
    <w:bookmarkStart w:id="153" w:name="threshold-requirements-28"/>
    <w:p>
      <w:pPr>
        <w:pStyle w:val="berschrift5"/>
      </w:pPr>
      <w:r>
        <w:t xml:space="preserve">Threshold requirements:</w:t>
      </w:r>
    </w:p>
    <w:p>
      <w:pPr>
        <w:pStyle w:val="FirstParagraph"/>
      </w:pPr>
      <w:r>
        <w:t xml:space="preserve">Slant range distance from the sensor to the surface, specified at centre of scene.</w:t>
      </w:r>
    </w:p>
    <w:p>
      <w:pPr>
        <w:pStyle w:val="Textkrper"/>
      </w:pPr>
      <w:r>
        <w:t xml:space="preserve">Only required if the corresponding per-pixel metadata (see</w:t>
      </w:r>
      <w:r>
        <w:t xml:space="preserve"> </w:t>
      </w:r>
      <w:hyperlink w:anchor="sec:pxl-slarassi-gslc">
        <w:r>
          <w:rPr>
            <w:rStyle w:val="Hyperlink"/>
          </w:rPr>
          <w:t xml:space="preserve">Per-Pixel Metadata: Slant Range Sensor to Surface Image</w:t>
        </w:r>
      </w:hyperlink>
      <w:r>
        <w:t xml:space="preserve">) is</w:t>
      </w:r>
      <w:r>
        <w:t xml:space="preserve"> </w:t>
      </w:r>
      <w:r>
        <w:rPr>
          <w:b/>
          <w:bCs/>
        </w:rPr>
        <w:t xml:space="preserve">not</w:t>
      </w:r>
      <w:r>
        <w:t xml:space="preserve"> </w:t>
      </w:r>
      <w:r>
        <w:t xml:space="preserve">provided.</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55"/>
    <w:bookmarkEnd w:id="156"/>
    <w:bookmarkStart w:id="160" w:name="sec:prd-reorbit-gslc"/>
    <w:p>
      <w:pPr>
        <w:pStyle w:val="berschrift4"/>
      </w:pPr>
      <w:r>
        <w:rPr>
          <w:rStyle w:val="VerbatimChar"/>
        </w:rPr>
        <w:t xml:space="preserve">3.12.</w:t>
      </w:r>
      <w:r>
        <w:t xml:space="preserve"> </w:t>
      </w:r>
      <w:r>
        <w:t xml:space="preserve">Reference Orbit</w:t>
      </w:r>
    </w:p>
    <w:p>
      <w:pPr>
        <w:pStyle w:val="FirstParagraph"/>
      </w:pPr>
      <w:r>
        <w:t xml:space="preserve">Identifier:</w:t>
      </w:r>
      <w:r>
        <w:t xml:space="preserve"> </w:t>
      </w:r>
      <w:r>
        <w:rPr>
          <w:rStyle w:val="VerbatimChar"/>
        </w:rPr>
        <w:t xml:space="preserve">prd-reorbit-gslc</w:t>
      </w:r>
    </w:p>
    <w:p>
      <w:pPr>
        <w:pStyle w:val="Textkrper"/>
      </w:pPr>
      <w:r>
        <w:rPr>
          <w:b/>
          <w:bCs/>
        </w:rPr>
        <w:t xml:space="preserve">Usage:</w:t>
      </w:r>
      <w:r>
        <w:t xml:space="preserve"> </w:t>
      </w:r>
      <w:r>
        <w:t xml:space="preserve">When a reference orbit is used instead of a virtual orbit (see</w:t>
      </w:r>
      <w:r>
        <w:t xml:space="preserve"> </w:t>
      </w:r>
      <w:hyperlink w:anchor="sec:annex-sar-topographic-phase-removal">
        <w:r>
          <w:rPr>
            <w:rStyle w:val="Hyperlink"/>
          </w:rPr>
          <w:t xml:space="preserve">Topographic phase removal</w:t>
        </w:r>
      </w:hyperlink>
      <w:r>
        <w:t xml:space="preserve">).</w:t>
      </w:r>
    </w:p>
    <w:bookmarkStart w:id="157" w:name="threshold-requirements-29"/>
    <w:p>
      <w:pPr>
        <w:pStyle w:val="berschrift5"/>
      </w:pPr>
      <w:r>
        <w:t xml:space="preserve">Threshold requirements:</w:t>
      </w:r>
    </w:p>
    <w:p>
      <w:pPr>
        <w:pStyle w:val="FirstParagraph"/>
      </w:pPr>
      <w:r>
        <w:t xml:space="preserve">Not required.</w:t>
      </w:r>
      <w:r>
        <w:t xml:space="preserve"> </w:t>
      </w:r>
    </w:p>
    <w:bookmarkEnd w:id="157"/>
    <w:bookmarkStart w:id="158" w:name="goal-requirements-29"/>
    <w:p>
      <w:pPr>
        <w:pStyle w:val="berschrift5"/>
      </w:pPr>
      <w:r>
        <w:t xml:space="preserve">Goal requirements:</w:t>
      </w:r>
    </w:p>
    <w:p>
      <w:pPr>
        <w:pStyle w:val="FirstParagraph"/>
      </w:pPr>
      <w:r>
        <w:t xml:space="preserve">Provide the absolute orbit number used as reference for topographic phase flattening.</w:t>
      </w:r>
      <w:r>
        <w:t xml:space="preserve"> </w:t>
      </w:r>
      <w:r>
        <w:t xml:space="preserve">In case a virtual orbit has been used, provide orbit parameters or orbit state vectors as DOI or URL.</w:t>
      </w:r>
    </w:p>
    <w:bookmarkEnd w:id="158"/>
    <w:bookmarkStart w:id="159" w:name="assessment-29"/>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59"/>
    <w:bookmarkEnd w:id="160"/>
    <w:bookmarkStart w:id="164" w:name="sec:prd-catpha"/>
    <w:p>
      <w:pPr>
        <w:pStyle w:val="berschrift4"/>
      </w:pPr>
      <w:r>
        <w:rPr>
          <w:rStyle w:val="VerbatimChar"/>
        </w:rPr>
        <w:t xml:space="preserve">3.13.</w:t>
      </w:r>
      <w:r>
        <w:t xml:space="preserve"> </w:t>
      </w:r>
      <w:r>
        <w:t xml:space="preserve">Atmospheric Phase Correction</w:t>
      </w:r>
    </w:p>
    <w:p>
      <w:pPr>
        <w:pStyle w:val="FirstParagraph"/>
      </w:pPr>
      <w:r>
        <w:t xml:space="preserve">Identifier:</w:t>
      </w:r>
      <w:r>
        <w:t xml:space="preserve"> </w:t>
      </w:r>
      <w:r>
        <w:rPr>
          <w:rStyle w:val="VerbatimChar"/>
        </w:rPr>
        <w:t xml:space="preserve">prd-catpha</w:t>
      </w:r>
    </w:p>
    <w:bookmarkStart w:id="161" w:name="threshold-requirements-30"/>
    <w:p>
      <w:pPr>
        <w:pStyle w:val="berschrift5"/>
      </w:pPr>
      <w:r>
        <w:t xml:space="preserve">Threshold requirements:</w:t>
      </w:r>
    </w:p>
    <w:p>
      <w:pPr>
        <w:pStyle w:val="FirstParagraph"/>
      </w:pPr>
      <w:r>
        <w:t xml:space="preserve">If applied, reference to atmospheric phase correction technique and parameters used.</w:t>
      </w:r>
    </w:p>
    <w:p>
      <w:pPr>
        <w:pStyle w:val="Compact"/>
        <w:numPr>
          <w:ilvl w:val="0"/>
          <w:numId w:val="1048"/>
        </w:numPr>
      </w:pPr>
      <w:r>
        <w:t xml:space="preserve">Methodology name</w:t>
      </w:r>
    </w:p>
    <w:p>
      <w:pPr>
        <w:pStyle w:val="Compact"/>
        <w:numPr>
          <w:ilvl w:val="0"/>
          <w:numId w:val="1048"/>
        </w:numPr>
      </w:pPr>
      <w:r>
        <w:t xml:space="preserve">Reference to methodology (text or DOI)</w:t>
      </w:r>
    </w:p>
    <w:bookmarkEnd w:id="161"/>
    <w:bookmarkStart w:id="162" w:name="goal-requirements-30"/>
    <w:p>
      <w:pPr>
        <w:pStyle w:val="berschrift5"/>
      </w:pPr>
      <w:r>
        <w:t xml:space="preserve">Goal requirements:</w:t>
      </w:r>
    </w:p>
    <w:p>
      <w:pPr>
        <w:pStyle w:val="FirstParagraph"/>
      </w:pPr>
      <w:r>
        <w:t xml:space="preserve">As threshold.</w:t>
      </w:r>
      <w:r>
        <w:t xml:space="preserve"> </w:t>
      </w:r>
    </w:p>
    <w:bookmarkEnd w:id="162"/>
    <w:bookmarkStart w:id="163" w:name="assessment-30"/>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p>
      <w:r>
        <w:pict>
          <v:rect style="width:0;height:1.5pt" o:hralign="center" o:hrstd="t" o:hr="t"/>
        </w:pict>
      </w:r>
    </w:p>
    <w:bookmarkEnd w:id="163"/>
    <w:bookmarkEnd w:id="164"/>
    <w:bookmarkStart w:id="168" w:name="sec:prd-ionpha"/>
    <w:p>
      <w:pPr>
        <w:pStyle w:val="berschrift4"/>
      </w:pPr>
      <w:r>
        <w:rPr>
          <w:rStyle w:val="VerbatimChar"/>
        </w:rPr>
        <w:t xml:space="preserve">3.14.</w:t>
      </w:r>
      <w:r>
        <w:t xml:space="preserve"> </w:t>
      </w:r>
      <w:r>
        <w:t xml:space="preserve">Ionospheric Phase Correction</w:t>
      </w:r>
    </w:p>
    <w:p>
      <w:pPr>
        <w:pStyle w:val="FirstParagraph"/>
      </w:pPr>
      <w:r>
        <w:t xml:space="preserve">Identifier:</w:t>
      </w:r>
      <w:r>
        <w:t xml:space="preserve"> </w:t>
      </w:r>
      <w:r>
        <w:rPr>
          <w:rStyle w:val="VerbatimChar"/>
        </w:rPr>
        <w:t xml:space="preserve">prd-ionpha</w:t>
      </w:r>
    </w:p>
    <w:bookmarkStart w:id="165" w:name="threshold-requirements-31"/>
    <w:p>
      <w:pPr>
        <w:pStyle w:val="berschrift5"/>
      </w:pPr>
      <w:r>
        <w:t xml:space="preserve">Threshold requirements:</w:t>
      </w:r>
    </w:p>
    <w:p>
      <w:pPr>
        <w:pStyle w:val="FirstParagraph"/>
      </w:pPr>
      <w:r>
        <w:t xml:space="preserve">If applied, reference to ionospheric phase correction technique and parameters used.</w:t>
      </w:r>
    </w:p>
    <w:p>
      <w:pPr>
        <w:pStyle w:val="Compact"/>
        <w:numPr>
          <w:ilvl w:val="0"/>
          <w:numId w:val="1050"/>
        </w:numPr>
      </w:pPr>
      <w:r>
        <w:t xml:space="preserve">Methodology name</w:t>
      </w:r>
    </w:p>
    <w:p>
      <w:pPr>
        <w:pStyle w:val="Compact"/>
        <w:numPr>
          <w:ilvl w:val="0"/>
          <w:numId w:val="1050"/>
        </w:numPr>
      </w:pPr>
      <w:r>
        <w:t xml:space="preserve">Reference to methodology (text or DOI)</w:t>
      </w:r>
    </w:p>
    <w:bookmarkEnd w:id="165"/>
    <w:bookmarkStart w:id="166" w:name="goal-requirements-31"/>
    <w:p>
      <w:pPr>
        <w:pStyle w:val="berschrift5"/>
      </w:pPr>
      <w:r>
        <w:t xml:space="preserve">Goal requirements:</w:t>
      </w:r>
    </w:p>
    <w:p>
      <w:pPr>
        <w:pStyle w:val="FirstParagraph"/>
      </w:pPr>
      <w:r>
        <w:t xml:space="preserve">As threshold.</w:t>
      </w:r>
      <w:r>
        <w:t xml:space="preserve"> </w:t>
      </w:r>
    </w:p>
    <w:bookmarkEnd w:id="166"/>
    <w:bookmarkStart w:id="167" w:name="assessment-31"/>
    <w:p>
      <w:pPr>
        <w:pStyle w:val="berschrift5"/>
      </w:pPr>
      <w:r>
        <w:t xml:space="preserve">Assessment:</w:t>
      </w:r>
    </w:p>
    <w:p>
      <w:pPr>
        <w:pStyle w:val="Compact"/>
        <w:numPr>
          <w:ilvl w:val="0"/>
          <w:numId w:val="1051"/>
        </w:numPr>
      </w:pPr>
      <w:r>
        <w:t xml:space="preserve">Threshold Self-Assessment:</w:t>
      </w:r>
    </w:p>
    <w:p>
      <w:pPr>
        <w:pStyle w:val="Compact"/>
        <w:numPr>
          <w:ilvl w:val="0"/>
          <w:numId w:val="1051"/>
        </w:numPr>
      </w:pPr>
      <w:r>
        <w:t xml:space="preserve">Goal Self-Assessment:</w:t>
      </w:r>
    </w:p>
    <w:p>
      <w:pPr>
        <w:pStyle w:val="Compact"/>
        <w:numPr>
          <w:ilvl w:val="0"/>
          <w:numId w:val="1051"/>
        </w:numPr>
      </w:pPr>
      <w:r>
        <w:t xml:space="preserve">Self-Assessment Explanation/ Justification:</w:t>
      </w:r>
    </w:p>
    <w:p>
      <w:pPr>
        <w:pStyle w:val="Compact"/>
        <w:numPr>
          <w:ilvl w:val="0"/>
          <w:numId w:val="1051"/>
        </w:numPr>
      </w:pPr>
      <w:r>
        <w:t xml:space="preserve">Recommended Requirement Modification:</w:t>
      </w:r>
    </w:p>
    <w:bookmarkEnd w:id="167"/>
    <w:bookmarkEnd w:id="168"/>
    <w:bookmarkEnd w:id="169"/>
    <w:bookmarkStart w:id="226"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73"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70" w:name="threshold-requirements-32"/>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70"/>
    <w:bookmarkStart w:id="171" w:name="goal-requirements-32"/>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71"/>
    <w:bookmarkStart w:id="172" w:name="assessment-32"/>
    <w:p>
      <w:pPr>
        <w:pStyle w:val="berschrift5"/>
      </w:pPr>
      <w:r>
        <w:t xml:space="preserve">Assessment:</w:t>
      </w:r>
    </w:p>
    <w:p>
      <w:pPr>
        <w:pStyle w:val="Compact"/>
        <w:numPr>
          <w:ilvl w:val="0"/>
          <w:numId w:val="1052"/>
        </w:numPr>
      </w:pPr>
      <w:r>
        <w:t xml:space="preserve">Threshold Self-Assessment:</w:t>
      </w:r>
    </w:p>
    <w:p>
      <w:pPr>
        <w:pStyle w:val="Compact"/>
        <w:numPr>
          <w:ilvl w:val="0"/>
          <w:numId w:val="1052"/>
        </w:numPr>
      </w:pPr>
      <w:r>
        <w:t xml:space="preserve">Goal Self-Assessment:</w:t>
      </w:r>
    </w:p>
    <w:p>
      <w:pPr>
        <w:pStyle w:val="Compact"/>
        <w:numPr>
          <w:ilvl w:val="0"/>
          <w:numId w:val="1052"/>
        </w:numPr>
      </w:pPr>
      <w:r>
        <w:t xml:space="preserve">Self-Assessment Explanation/ Justification:</w:t>
      </w:r>
    </w:p>
    <w:p>
      <w:pPr>
        <w:pStyle w:val="Compact"/>
        <w:numPr>
          <w:ilvl w:val="0"/>
          <w:numId w:val="1052"/>
        </w:numPr>
      </w:pPr>
      <w:r>
        <w:t xml:space="preserve">Recommended Requirement Modification:</w:t>
      </w:r>
    </w:p>
    <w:p>
      <w:r>
        <w:pict>
          <v:rect style="width:0;height:1.5pt" o:hralign="center" o:hrstd="t" o:hr="t"/>
        </w:pict>
      </w:r>
    </w:p>
    <w:bookmarkEnd w:id="172"/>
    <w:bookmarkEnd w:id="173"/>
    <w:bookmarkStart w:id="177"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74" w:name="threshold-requirements-33"/>
    <w:p>
      <w:pPr>
        <w:pStyle w:val="berschrift5"/>
      </w:pPr>
      <w:r>
        <w:t xml:space="preserve">Threshold requirements:</w:t>
      </w:r>
    </w:p>
    <w:p>
      <w:pPr>
        <w:pStyle w:val="FirstParagraph"/>
      </w:pPr>
      <w:r>
        <w:t xml:space="preserve">Mask image indicating:</w:t>
      </w:r>
    </w:p>
    <w:p>
      <w:pPr>
        <w:pStyle w:val="Compact"/>
        <w:numPr>
          <w:ilvl w:val="0"/>
          <w:numId w:val="1053"/>
        </w:numPr>
      </w:pPr>
      <w:r>
        <w:t xml:space="preserve">Valid data</w:t>
      </w:r>
    </w:p>
    <w:p>
      <w:pPr>
        <w:pStyle w:val="Compact"/>
        <w:numPr>
          <w:ilvl w:val="0"/>
          <w:numId w:val="1053"/>
        </w:numPr>
      </w:pPr>
      <w:r>
        <w:t xml:space="preserve">Invalid data</w:t>
      </w:r>
    </w:p>
    <w:p>
      <w:pPr>
        <w:pStyle w:val="Compact"/>
        <w:numPr>
          <w:ilvl w:val="0"/>
          <w:numId w:val="1053"/>
        </w:numPr>
      </w:pPr>
      <w:r>
        <w:t xml:space="preserve">No data</w:t>
      </w:r>
    </w:p>
    <w:p>
      <w:pPr>
        <w:pStyle w:val="FirstParagraph"/>
      </w:pPr>
      <w:r>
        <w:t xml:space="preserve">File format specifications/contents provided in metadata:</w:t>
      </w:r>
    </w:p>
    <w:p>
      <w:pPr>
        <w:pStyle w:val="Compact"/>
        <w:numPr>
          <w:ilvl w:val="0"/>
          <w:numId w:val="1054"/>
        </w:numPr>
      </w:pPr>
      <w:r>
        <w:t xml:space="preserve">Sample Type (Mask)</w:t>
      </w:r>
    </w:p>
    <w:p>
      <w:pPr>
        <w:pStyle w:val="Compact"/>
        <w:numPr>
          <w:ilvl w:val="0"/>
          <w:numId w:val="1054"/>
        </w:numPr>
      </w:pPr>
      <w:r>
        <w:t xml:space="preserve">Data Format (GeoTIFF, HDF5, NetCDF, …)</w:t>
      </w:r>
    </w:p>
    <w:p>
      <w:pPr>
        <w:pStyle w:val="Compact"/>
        <w:numPr>
          <w:ilvl w:val="0"/>
          <w:numId w:val="1054"/>
        </w:numPr>
      </w:pPr>
      <w:r>
        <w:t xml:space="preserve">Data Type (Int, …)</w:t>
      </w:r>
    </w:p>
    <w:p>
      <w:pPr>
        <w:pStyle w:val="Compact"/>
        <w:numPr>
          <w:ilvl w:val="0"/>
          <w:numId w:val="1054"/>
        </w:numPr>
      </w:pPr>
      <w:r>
        <w:t xml:space="preserve">Bits per Sample</w:t>
      </w:r>
    </w:p>
    <w:p>
      <w:pPr>
        <w:pStyle w:val="Compact"/>
        <w:numPr>
          <w:ilvl w:val="0"/>
          <w:numId w:val="1054"/>
        </w:numPr>
      </w:pPr>
      <w:r>
        <w:t xml:space="preserve">Byte Order</w:t>
      </w:r>
    </w:p>
    <w:p>
      <w:pPr>
        <w:pStyle w:val="Compact"/>
        <w:numPr>
          <w:ilvl w:val="0"/>
          <w:numId w:val="1054"/>
        </w:numPr>
      </w:pPr>
      <w:r>
        <w:t xml:space="preserve">Bit Value Representation</w:t>
      </w:r>
    </w:p>
    <w:p>
      <w:pPr>
        <w:pStyle w:val="FirstParagraph"/>
      </w:pPr>
      <w:r>
        <w:t xml:space="preserve">Notes:</w:t>
      </w:r>
    </w:p>
    <w:p>
      <w:pPr>
        <w:pStyle w:val="Compact"/>
        <w:numPr>
          <w:ilvl w:val="0"/>
          <w:numId w:val="1055"/>
        </w:numPr>
      </w:pPr>
      <w:r>
        <w:t xml:space="preserve">All bit value representations included in the Data Mask Image should be indicated in the metadata.</w:t>
      </w:r>
    </w:p>
    <w:p>
      <w:pPr>
        <w:pStyle w:val="Compact"/>
        <w:numPr>
          <w:ilvl w:val="0"/>
          <w:numId w:val="1055"/>
        </w:numPr>
      </w:pPr>
      <w:r>
        <w:t xml:space="preserve">For CEOS-ARD products created from repeat-pass acquisitions, with narrow orbital tube radius, a single static per pixel metadata file can be provided as a URL address of that unique metadata file.</w:t>
      </w:r>
    </w:p>
    <w:bookmarkEnd w:id="174"/>
    <w:bookmarkStart w:id="175" w:name="goal-requirements-33"/>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6"/>
        </w:numPr>
      </w:pPr>
      <w:r>
        <w:t xml:space="preserve">Layover (masked as invalid data in threshold)</w:t>
      </w:r>
    </w:p>
    <w:p>
      <w:pPr>
        <w:pStyle w:val="Compact"/>
        <w:numPr>
          <w:ilvl w:val="0"/>
          <w:numId w:val="1056"/>
        </w:numPr>
      </w:pPr>
      <w:r>
        <w:t xml:space="preserve">Radar shadow (masked as invalid data in threshold)</w:t>
      </w:r>
    </w:p>
    <w:p>
      <w:pPr>
        <w:pStyle w:val="Compact"/>
        <w:numPr>
          <w:ilvl w:val="0"/>
          <w:numId w:val="1056"/>
        </w:numPr>
      </w:pPr>
      <w:r>
        <w:t xml:space="preserve">Ocean water</w:t>
      </w:r>
    </w:p>
    <w:p>
      <w:pPr>
        <w:pStyle w:val="Compact"/>
        <w:numPr>
          <w:ilvl w:val="0"/>
          <w:numId w:val="1056"/>
        </w:numPr>
      </w:pPr>
      <w:r>
        <w:t xml:space="preserve">Land (recommended for ORB)</w:t>
      </w:r>
    </w:p>
    <w:p>
      <w:pPr>
        <w:pStyle w:val="Compact"/>
        <w:numPr>
          <w:ilvl w:val="0"/>
          <w:numId w:val="1056"/>
        </w:numPr>
      </w:pPr>
      <w:r>
        <w:t xml:space="preserve">RTC applied (e.g., for maritime scenes with land samples for which RTC has been applied)</w:t>
      </w:r>
    </w:p>
    <w:p>
      <w:pPr>
        <w:pStyle w:val="Compact"/>
        <w:numPr>
          <w:ilvl w:val="0"/>
          <w:numId w:val="1056"/>
        </w:numPr>
      </w:pPr>
      <w:r>
        <w:t xml:space="preserve">DEM gap filling (i.e., interpolated DEM over gaps)</w:t>
      </w:r>
    </w:p>
    <w:bookmarkEnd w:id="175"/>
    <w:bookmarkStart w:id="176" w:name="assessment-33"/>
    <w:p>
      <w:pPr>
        <w:pStyle w:val="berschrift5"/>
      </w:pPr>
      <w:r>
        <w:t xml:space="preserve">Assessment:</w:t>
      </w:r>
    </w:p>
    <w:p>
      <w:pPr>
        <w:pStyle w:val="Compact"/>
        <w:numPr>
          <w:ilvl w:val="0"/>
          <w:numId w:val="1057"/>
        </w:numPr>
      </w:pPr>
      <w:r>
        <w:t xml:space="preserve">Threshold Self-Assessment:</w:t>
      </w:r>
    </w:p>
    <w:p>
      <w:pPr>
        <w:pStyle w:val="Compact"/>
        <w:numPr>
          <w:ilvl w:val="0"/>
          <w:numId w:val="1057"/>
        </w:numPr>
      </w:pPr>
      <w:r>
        <w:t xml:space="preserve">Goal Self-Assessment:</w:t>
      </w:r>
    </w:p>
    <w:p>
      <w:pPr>
        <w:pStyle w:val="Compact"/>
        <w:numPr>
          <w:ilvl w:val="0"/>
          <w:numId w:val="1057"/>
        </w:numPr>
      </w:pPr>
      <w:r>
        <w:t xml:space="preserve">Self-Assessment Explanation/ Justification:</w:t>
      </w:r>
    </w:p>
    <w:p>
      <w:pPr>
        <w:pStyle w:val="Compact"/>
        <w:numPr>
          <w:ilvl w:val="0"/>
          <w:numId w:val="1057"/>
        </w:numPr>
      </w:pPr>
      <w:r>
        <w:t xml:space="preserve">Recommended Requirement Modification:</w:t>
      </w:r>
    </w:p>
    <w:p>
      <w:r>
        <w:pict>
          <v:rect style="width:0;height:1.5pt" o:hralign="center" o:hrstd="t" o:hr="t"/>
        </w:pict>
      </w:r>
    </w:p>
    <w:bookmarkEnd w:id="176"/>
    <w:bookmarkEnd w:id="177"/>
    <w:bookmarkStart w:id="181" w:name="sec:pxl-piscata"/>
    <w:p>
      <w:pPr>
        <w:pStyle w:val="berschrift4"/>
      </w:pPr>
      <w:r>
        <w:rPr>
          <w:rStyle w:val="VerbatimChar"/>
        </w:rPr>
        <w:t xml:space="preserve">4.3.</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w:t>
      </w:r>
      <w:r>
        <w:t xml:space="preserve"> </w:t>
      </w:r>
      <w:r>
        <w:t xml:space="preserve">Recommended for scenes that include land areas.</w:t>
      </w:r>
    </w:p>
    <w:bookmarkStart w:id="178" w:name="threshold-requirements-34"/>
    <w:p>
      <w:pPr>
        <w:pStyle w:val="berschrift5"/>
      </w:pPr>
      <w:r>
        <w:t xml:space="preserve">Threshold requirements:</w:t>
      </w:r>
    </w:p>
    <w:p>
      <w:pPr>
        <w:pStyle w:val="FirstParagraph"/>
      </w:pPr>
      <w:r>
        <w:t xml:space="preserve">Not required.</w:t>
      </w:r>
      <w:r>
        <w:t xml:space="preserve"> </w:t>
      </w:r>
    </w:p>
    <w:bookmarkEnd w:id="178"/>
    <w:bookmarkStart w:id="179" w:name="goal-requirements-34"/>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8"/>
        </w:numPr>
      </w:pPr>
      <w:r>
        <w:t xml:space="preserve">Sample Type (Scattering Area)</w:t>
      </w:r>
    </w:p>
    <w:p>
      <w:pPr>
        <w:pStyle w:val="Compact"/>
        <w:numPr>
          <w:ilvl w:val="0"/>
          <w:numId w:val="1058"/>
        </w:numPr>
      </w:pPr>
      <w:r>
        <w:t xml:space="preserve">Data Format (GeoTIFF, HDF5, NetCDF, …)</w:t>
      </w:r>
    </w:p>
    <w:p>
      <w:pPr>
        <w:pStyle w:val="Compact"/>
        <w:numPr>
          <w:ilvl w:val="0"/>
          <w:numId w:val="1058"/>
        </w:numPr>
      </w:pPr>
      <w:r>
        <w:t xml:space="preserve">Data Type (Int, Float, …)</w:t>
      </w:r>
    </w:p>
    <w:p>
      <w:pPr>
        <w:pStyle w:val="Compact"/>
        <w:numPr>
          <w:ilvl w:val="0"/>
          <w:numId w:val="1058"/>
        </w:numPr>
      </w:pPr>
      <w:r>
        <w:t xml:space="preserve">Bits per Sample</w:t>
      </w:r>
    </w:p>
    <w:p>
      <w:pPr>
        <w:pStyle w:val="Compact"/>
        <w:numPr>
          <w:ilvl w:val="0"/>
          <w:numId w:val="1058"/>
        </w:numPr>
      </w:pPr>
      <w:r>
        <w:t xml:space="preserve">Byte Order</w:t>
      </w:r>
    </w:p>
    <w:p>
      <w:pPr>
        <w:pStyle w:val="FirstParagraph"/>
      </w:pPr>
      <w:r>
        <w:t xml:space="preserve">Notes:</w:t>
      </w:r>
    </w:p>
    <w:p>
      <w:pPr>
        <w:pStyle w:val="Compact"/>
        <w:numPr>
          <w:ilvl w:val="0"/>
          <w:numId w:val="1059"/>
        </w:numPr>
      </w:pPr>
      <w:r>
        <w:t xml:space="preserve">For CEOS-ARD products created from repeat-pass acquisitions, with narrow orbital tube radius, a single static per pixel metadata file could be provided as a URL address of that unique metadata file.</w:t>
      </w:r>
    </w:p>
    <w:p>
      <w:pPr>
        <w:pStyle w:val="Compact"/>
        <w:numPr>
          <w:ilvl w:val="0"/>
          <w:numId w:val="1059"/>
        </w:numPr>
      </w:pPr>
      <w:r>
        <w:t xml:space="preserve">Required for products such as NRB and POL if they are to be used as an input to production of composite backscatter (CB) when weighted averages based on the areas are used to generate composite backscatter.</w:t>
      </w:r>
    </w:p>
    <w:bookmarkEnd w:id="179"/>
    <w:bookmarkStart w:id="180" w:name="assessment-34"/>
    <w:p>
      <w:pPr>
        <w:pStyle w:val="berschrift5"/>
      </w:pPr>
      <w:r>
        <w:t xml:space="preserve">Assessment:</w:t>
      </w:r>
    </w:p>
    <w:p>
      <w:pPr>
        <w:pStyle w:val="Compact"/>
        <w:numPr>
          <w:ilvl w:val="0"/>
          <w:numId w:val="1060"/>
        </w:numPr>
      </w:pPr>
      <w:r>
        <w:t xml:space="preserve">Threshold Self-Assessment:</w:t>
      </w:r>
    </w:p>
    <w:p>
      <w:pPr>
        <w:pStyle w:val="Compact"/>
        <w:numPr>
          <w:ilvl w:val="0"/>
          <w:numId w:val="1060"/>
        </w:numPr>
      </w:pPr>
      <w:r>
        <w:t xml:space="preserve">Goal Self-Assessment:</w:t>
      </w:r>
    </w:p>
    <w:p>
      <w:pPr>
        <w:pStyle w:val="Compact"/>
        <w:numPr>
          <w:ilvl w:val="0"/>
          <w:numId w:val="1060"/>
        </w:numPr>
      </w:pPr>
      <w:r>
        <w:t xml:space="preserve">Self-Assessment Explanation/ Justification:</w:t>
      </w:r>
    </w:p>
    <w:p>
      <w:pPr>
        <w:pStyle w:val="Compact"/>
        <w:numPr>
          <w:ilvl w:val="0"/>
          <w:numId w:val="1060"/>
        </w:numPr>
      </w:pPr>
      <w:r>
        <w:t xml:space="preserve">Recommended Requirement Modification:</w:t>
      </w:r>
    </w:p>
    <w:p>
      <w:r>
        <w:pict>
          <v:rect style="width:0;height:1.5pt" o:hralign="center" o:hrstd="t" o:hr="t"/>
        </w:pict>
      </w:r>
    </w:p>
    <w:bookmarkEnd w:id="180"/>
    <w:bookmarkEnd w:id="181"/>
    <w:bookmarkStart w:id="185" w:name="sec:pxl-ploinca"/>
    <w:p>
      <w:pPr>
        <w:pStyle w:val="berschrift4"/>
      </w:pPr>
      <w:r>
        <w:rPr>
          <w:rStyle w:val="VerbatimChar"/>
        </w:rPr>
        <w:t xml:space="preserve">4.4.</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82" w:name="threshold-requirements-35"/>
    <w:p>
      <w:pPr>
        <w:pStyle w:val="berschrift5"/>
      </w:pPr>
      <w:r>
        <w:t xml:space="preserve">Threshold requirements:</w:t>
      </w:r>
    </w:p>
    <w:p>
      <w:pPr>
        <w:pStyle w:val="FirstParagraph"/>
      </w:pPr>
      <w:r>
        <w:t xml:space="preserve">Not required.</w:t>
      </w:r>
      <w:r>
        <w:t xml:space="preserve"> </w:t>
      </w:r>
    </w:p>
    <w:bookmarkEnd w:id="182"/>
    <w:bookmarkStart w:id="183" w:name="goal-requirements-35"/>
    <w:p>
      <w:pPr>
        <w:pStyle w:val="berschrift5"/>
      </w:pPr>
      <w:r>
        <w:t xml:space="preserve">Goal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61"/>
        </w:numPr>
      </w:pPr>
      <w:r>
        <w:t xml:space="preserve">Sample Type (Angle)</w:t>
      </w:r>
    </w:p>
    <w:p>
      <w:pPr>
        <w:pStyle w:val="Compact"/>
        <w:numPr>
          <w:ilvl w:val="0"/>
          <w:numId w:val="1061"/>
        </w:numPr>
      </w:pPr>
      <w:r>
        <w:t xml:space="preserve">Data Format (GeoTIFF, HDF5, NetCDF, …)</w:t>
      </w:r>
    </w:p>
    <w:p>
      <w:pPr>
        <w:pStyle w:val="Compact"/>
        <w:numPr>
          <w:ilvl w:val="0"/>
          <w:numId w:val="1061"/>
        </w:numPr>
      </w:pPr>
      <w:r>
        <w:t xml:space="preserve">Data Type (Int, Float, …)</w:t>
      </w:r>
    </w:p>
    <w:p>
      <w:pPr>
        <w:pStyle w:val="Compact"/>
        <w:numPr>
          <w:ilvl w:val="0"/>
          <w:numId w:val="1061"/>
        </w:numPr>
      </w:pPr>
      <w:r>
        <w:t xml:space="preserve">Bits per Sample</w:t>
      </w:r>
    </w:p>
    <w:p>
      <w:pPr>
        <w:pStyle w:val="Compact"/>
        <w:numPr>
          <w:ilvl w:val="0"/>
          <w:numId w:val="1061"/>
        </w:numPr>
      </w:pPr>
      <w:r>
        <w:t xml:space="preserve">Byte Order</w:t>
      </w:r>
    </w:p>
    <w:p>
      <w:pPr>
        <w:pStyle w:val="FirstParagraph"/>
      </w:pPr>
      <w:r>
        <w:t xml:space="preserve">Note:</w:t>
      </w:r>
    </w:p>
    <w:p>
      <w:pPr>
        <w:pStyle w:val="Compact"/>
        <w:numPr>
          <w:ilvl w:val="0"/>
          <w:numId w:val="1062"/>
        </w:numPr>
      </w:pPr>
      <w:r>
        <w:t xml:space="preserve">For CEOS-ARD products created from repeat-pass acquisitions, with narrow orbital tube radius, a single static per pixel metadata file can be provided as a URL address of that unique metadata file.</w:t>
      </w:r>
    </w:p>
    <w:bookmarkEnd w:id="183"/>
    <w:bookmarkStart w:id="184" w:name="assessment-35"/>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p>
      <w:r>
        <w:pict>
          <v:rect style="width:0;height:1.5pt" o:hralign="center" o:hrstd="t" o:hr="t"/>
        </w:pict>
      </w:r>
    </w:p>
    <w:bookmarkEnd w:id="184"/>
    <w:bookmarkEnd w:id="185"/>
    <w:bookmarkStart w:id="189" w:name="sec:pxl-pelinca"/>
    <w:p>
      <w:pPr>
        <w:pStyle w:val="berschrift4"/>
      </w:pPr>
      <w:r>
        <w:rPr>
          <w:rStyle w:val="VerbatimChar"/>
        </w:rPr>
        <w:t xml:space="preserve">4.5.</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86" w:name="threshold-requirements-36"/>
    <w:p>
      <w:pPr>
        <w:pStyle w:val="berschrift5"/>
      </w:pPr>
      <w:r>
        <w:t xml:space="preserve">Threshold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64"/>
        </w:numPr>
      </w:pPr>
      <w:r>
        <w:t xml:space="preserve">Sample Type (Angle)</w:t>
      </w:r>
    </w:p>
    <w:p>
      <w:pPr>
        <w:pStyle w:val="Compact"/>
        <w:numPr>
          <w:ilvl w:val="0"/>
          <w:numId w:val="1064"/>
        </w:numPr>
      </w:pPr>
      <w:r>
        <w:t xml:space="preserve">Data Format (GeoTIFF, HDF5, NetCDF, …)</w:t>
      </w:r>
    </w:p>
    <w:p>
      <w:pPr>
        <w:pStyle w:val="Compact"/>
        <w:numPr>
          <w:ilvl w:val="0"/>
          <w:numId w:val="1064"/>
        </w:numPr>
      </w:pPr>
      <w:r>
        <w:t xml:space="preserve">Data Type (Int, Float, …)</w:t>
      </w:r>
    </w:p>
    <w:p>
      <w:pPr>
        <w:pStyle w:val="Compact"/>
        <w:numPr>
          <w:ilvl w:val="0"/>
          <w:numId w:val="1064"/>
        </w:numPr>
      </w:pPr>
      <w:r>
        <w:t xml:space="preserve">Bits per Sample</w:t>
      </w:r>
    </w:p>
    <w:p>
      <w:pPr>
        <w:pStyle w:val="Compact"/>
        <w:numPr>
          <w:ilvl w:val="0"/>
          <w:numId w:val="1064"/>
        </w:numPr>
      </w:pPr>
      <w:r>
        <w:t xml:space="preserve">Byte Order</w:t>
      </w:r>
    </w:p>
    <w:p>
      <w:pPr>
        <w:pStyle w:val="Compact"/>
        <w:numPr>
          <w:ilvl w:val="0"/>
          <w:numId w:val="1064"/>
        </w:numPr>
      </w:pPr>
      <w:r>
        <w:t xml:space="preserve">Reference Ellipsoid Name</w:t>
      </w:r>
    </w:p>
    <w:p>
      <w:pPr>
        <w:pStyle w:val="FirstParagraph"/>
      </w:pPr>
      <w:r>
        <w:t xml:space="preserve">Required when a Radar Unit Look Vector Grid Image (see</w:t>
      </w:r>
      <w:r>
        <w:t xml:space="preserve"> </w:t>
      </w:r>
      <w:hyperlink w:anchor="sec:pxl-radulov-gslc">
        <w:r>
          <w:rPr>
            <w:rStyle w:val="Hyperlink"/>
          </w:rPr>
          <w:t xml:space="preserve">Per-Pixel Metadata: Radar Unit Look Vector Grid Image</w:t>
        </w:r>
      </w:hyperlink>
      <w:r>
        <w:t xml:space="preserve">) is not provided.</w:t>
      </w:r>
    </w:p>
    <w:p>
      <w:pPr>
        <w:pStyle w:val="Textkrper"/>
      </w:pPr>
      <w:r>
        <w:t xml:space="preserve">Note:</w:t>
      </w:r>
    </w:p>
    <w:p>
      <w:pPr>
        <w:pStyle w:val="Compact"/>
        <w:numPr>
          <w:ilvl w:val="0"/>
          <w:numId w:val="1065"/>
        </w:numPr>
      </w:pPr>
      <w:r>
        <w:t xml:space="preserve">For CEOS-ARD products created from repeat-pass acquisitions, with narrow orbital tube radius, a single static per pixel metadata file can be provided as a URL address of that unique metadata file.</w:t>
      </w:r>
    </w:p>
    <w:bookmarkEnd w:id="186"/>
    <w:bookmarkStart w:id="187" w:name="goal-requirements-36"/>
    <w:p>
      <w:pPr>
        <w:pStyle w:val="berschrift5"/>
      </w:pPr>
      <w:r>
        <w:t xml:space="preserve">Goal requirements:</w:t>
      </w:r>
    </w:p>
    <w:p>
      <w:pPr>
        <w:pStyle w:val="FirstParagraph"/>
      </w:pPr>
      <w:r>
        <w:t xml:space="preserve">As threshold.</w:t>
      </w:r>
      <w:r>
        <w:t xml:space="preserve"> </w:t>
      </w:r>
    </w:p>
    <w:bookmarkEnd w:id="187"/>
    <w:bookmarkStart w:id="188" w:name="assessment-36"/>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188"/>
    <w:bookmarkEnd w:id="189"/>
    <w:bookmarkStart w:id="193" w:name="sec:pxl-pinopow"/>
    <w:p>
      <w:pPr>
        <w:pStyle w:val="berschrift4"/>
      </w:pPr>
      <w:r>
        <w:rPr>
          <w:rStyle w:val="VerbatimChar"/>
        </w:rPr>
        <w:t xml:space="preserve">4.6.</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90" w:name="threshold-requirements-37"/>
    <w:p>
      <w:pPr>
        <w:pStyle w:val="berschrift5"/>
      </w:pPr>
      <w:r>
        <w:t xml:space="preserve">Threshold requirements:</w:t>
      </w:r>
    </w:p>
    <w:p>
      <w:pPr>
        <w:pStyle w:val="FirstParagraph"/>
      </w:pPr>
      <w:r>
        <w:t xml:space="preserve">Not required.</w:t>
      </w:r>
      <w:r>
        <w:t xml:space="preserve"> </w:t>
      </w:r>
    </w:p>
    <w:bookmarkEnd w:id="190"/>
    <w:bookmarkStart w:id="191" w:name="goal-requirements-37"/>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67"/>
        </w:numPr>
      </w:pPr>
      <w:r>
        <w:t xml:space="preserve">Sample Type (Gamma-Nought, Sigma-Nought, Beta-Nought)</w:t>
      </w:r>
    </w:p>
    <w:p>
      <w:pPr>
        <w:pStyle w:val="Compact"/>
        <w:numPr>
          <w:ilvl w:val="0"/>
          <w:numId w:val="1067"/>
        </w:numPr>
      </w:pPr>
      <w:r>
        <w:t xml:space="preserve">Correction model type (Ellipsoid, Topography)</w:t>
      </w:r>
    </w:p>
    <w:p>
      <w:pPr>
        <w:pStyle w:val="Compact"/>
        <w:numPr>
          <w:ilvl w:val="0"/>
          <w:numId w:val="1067"/>
        </w:numPr>
      </w:pPr>
      <w:r>
        <w:t xml:space="preserve">Data Format (GeoTIFF, HDF5, NetCDF, …)</w:t>
      </w:r>
    </w:p>
    <w:p>
      <w:pPr>
        <w:pStyle w:val="Compact"/>
        <w:numPr>
          <w:ilvl w:val="0"/>
          <w:numId w:val="1067"/>
        </w:numPr>
      </w:pPr>
      <w:r>
        <w:t xml:space="preserve">Data Type (Int, Float, …)</w:t>
      </w:r>
    </w:p>
    <w:p>
      <w:pPr>
        <w:pStyle w:val="Compact"/>
        <w:numPr>
          <w:ilvl w:val="0"/>
          <w:numId w:val="1067"/>
        </w:numPr>
      </w:pPr>
      <w:r>
        <w:t xml:space="preserve">Bits per Sample</w:t>
      </w:r>
    </w:p>
    <w:p>
      <w:pPr>
        <w:pStyle w:val="Compact"/>
        <w:numPr>
          <w:ilvl w:val="0"/>
          <w:numId w:val="1067"/>
        </w:numPr>
      </w:pPr>
      <w:r>
        <w:t xml:space="preserve">Byte Order</w:t>
      </w:r>
    </w:p>
    <w:bookmarkEnd w:id="191"/>
    <w:bookmarkStart w:id="192" w:name="assessment-37"/>
    <w:p>
      <w:pPr>
        <w:pStyle w:val="berschrift5"/>
      </w:pPr>
      <w:r>
        <w:t xml:space="preserve">Assessment:</w:t>
      </w:r>
    </w:p>
    <w:p>
      <w:pPr>
        <w:pStyle w:val="Compact"/>
        <w:numPr>
          <w:ilvl w:val="0"/>
          <w:numId w:val="1068"/>
        </w:numPr>
      </w:pPr>
      <w:r>
        <w:t xml:space="preserve">Threshold Self-Assessment:</w:t>
      </w:r>
    </w:p>
    <w:p>
      <w:pPr>
        <w:pStyle w:val="Compact"/>
        <w:numPr>
          <w:ilvl w:val="0"/>
          <w:numId w:val="1068"/>
        </w:numPr>
      </w:pPr>
      <w:r>
        <w:t xml:space="preserve">Goal Self-Assessment:</w:t>
      </w:r>
    </w:p>
    <w:p>
      <w:pPr>
        <w:pStyle w:val="Compact"/>
        <w:numPr>
          <w:ilvl w:val="0"/>
          <w:numId w:val="1068"/>
        </w:numPr>
      </w:pPr>
      <w:r>
        <w:t xml:space="preserve">Self-Assessment Explanation/ Justification:</w:t>
      </w:r>
    </w:p>
    <w:p>
      <w:pPr>
        <w:pStyle w:val="Compact"/>
        <w:numPr>
          <w:ilvl w:val="0"/>
          <w:numId w:val="1068"/>
        </w:numPr>
      </w:pPr>
      <w:r>
        <w:t xml:space="preserve">Recommended Requirement Modification:</w:t>
      </w:r>
    </w:p>
    <w:p>
      <w:r>
        <w:pict>
          <v:rect style="width:0;height:1.5pt" o:hralign="center" o:hrstd="t" o:hr="t"/>
        </w:pict>
      </w:r>
    </w:p>
    <w:bookmarkEnd w:id="192"/>
    <w:bookmarkEnd w:id="193"/>
    <w:bookmarkStart w:id="197" w:name="sec:pxl-gasiri"/>
    <w:p>
      <w:pPr>
        <w:pStyle w:val="berschrift4"/>
      </w:pPr>
      <w:r>
        <w:rPr>
          <w:rStyle w:val="VerbatimChar"/>
        </w:rPr>
        <w:t xml:space="preserve">4.7.</w:t>
      </w:r>
      <w:r>
        <w:t xml:space="preserve"> </w:t>
      </w:r>
      <w:r>
        <w:t xml:space="preserve">Gamma-to-Sigma Ratio Image</w:t>
      </w:r>
    </w:p>
    <w:p>
      <w:pPr>
        <w:pStyle w:val="FirstParagraph"/>
      </w:pPr>
      <w:r>
        <w:t xml:space="preserve">Identifier:</w:t>
      </w:r>
      <w:r>
        <w:t xml:space="preserve"> </w:t>
      </w:r>
      <w:r>
        <w:rPr>
          <w:rStyle w:val="VerbatimChar"/>
        </w:rPr>
        <w:t xml:space="preserve">pxl-gasiri</w:t>
      </w:r>
    </w:p>
    <w:bookmarkStart w:id="194" w:name="threshold-requirements-38"/>
    <w:p>
      <w:pPr>
        <w:pStyle w:val="berschrift5"/>
      </w:pPr>
      <w:r>
        <w:t xml:space="preserve">Threshold requirements:</w:t>
      </w:r>
    </w:p>
    <w:p>
      <w:pPr>
        <w:pStyle w:val="FirstParagraph"/>
      </w:pPr>
      <w:r>
        <w:t xml:space="preserve">Not required.</w:t>
      </w:r>
      <w:r>
        <w:t xml:space="preserve"> </w:t>
      </w:r>
    </w:p>
    <w:bookmarkEnd w:id="194"/>
    <w:bookmarkStart w:id="195" w:name="goal-requirements-38"/>
    <w:p>
      <w:pPr>
        <w:pStyle w:val="berschrift5"/>
      </w:pPr>
      <w:r>
        <w:t xml:space="preserve">Goal requirements:</w:t>
      </w:r>
    </w:p>
    <w:p>
      <w:pPr>
        <w:pStyle w:val="FirstParagraph"/>
      </w:pPr>
      <w:r>
        <w:t xml:space="preserve">Ratio of the integrated area in the Gamma projection over the integrated area</w:t>
      </w:r>
      <w:r>
        <w:t xml:space="preserve"> </w:t>
      </w:r>
      <w:r>
        <w:t xml:space="preserve">in the Sigma projection (ground). Multiplying RTC</w:t>
      </w:r>
      <w:r>
        <w:t xml:space="preserve"> </w:t>
      </w:r>
      <m:oMath>
        <m:sSubSup>
          <m:e>
            <m:r>
              <m:t>γ</m:t>
            </m:r>
          </m:e>
          <m:sub>
            <m:r>
              <m:t>T</m:t>
            </m:r>
          </m:sub>
          <m:sup>
            <m:r>
              <m:t>0</m:t>
            </m:r>
          </m:sup>
        </m:sSubSup>
      </m:oMath>
      <w:r>
        <w:t xml:space="preserve"> </w:t>
      </w:r>
      <w:r>
        <w:t xml:space="preserve">by this ratio results in an</w:t>
      </w:r>
      <w:r>
        <w:t xml:space="preserve"> </w:t>
      </w:r>
      <w:r>
        <w:t xml:space="preserve">estimate of RTC</w:t>
      </w:r>
      <w:r>
        <w:t xml:space="preserve"> </w:t>
      </w:r>
      <m:oMath>
        <m:sSubSup>
          <m:e>
            <m:r>
              <m:t>σ</m:t>
            </m:r>
          </m:e>
          <m:sub>
            <m:r>
              <m:t>T</m:t>
            </m:r>
          </m:sub>
          <m:sup>
            <m:r>
              <m:t>0</m:t>
            </m:r>
          </m:sup>
        </m:sSubSup>
      </m:oMath>
      <w:r>
        <w:t xml:space="preserve">.</w:t>
      </w:r>
    </w:p>
    <w:p>
      <w:pPr>
        <w:pStyle w:val="Textkrper"/>
      </w:pPr>
      <w:r>
        <w:t xml:space="preserve">File format specifications/contents provided in metadata:</w:t>
      </w:r>
    </w:p>
    <w:p>
      <w:pPr>
        <w:pStyle w:val="Compact"/>
        <w:numPr>
          <w:ilvl w:val="0"/>
          <w:numId w:val="1069"/>
        </w:numPr>
      </w:pPr>
      <w:r>
        <w:t xml:space="preserve">Sample Type (Ratio)</w:t>
      </w:r>
    </w:p>
    <w:p>
      <w:pPr>
        <w:pStyle w:val="Compact"/>
        <w:numPr>
          <w:ilvl w:val="0"/>
          <w:numId w:val="1069"/>
        </w:numPr>
      </w:pPr>
      <w:r>
        <w:t xml:space="preserve">Data Format (GeoTIFF, HDF5, NetCDF, …)</w:t>
      </w:r>
    </w:p>
    <w:p>
      <w:pPr>
        <w:pStyle w:val="Compact"/>
        <w:numPr>
          <w:ilvl w:val="0"/>
          <w:numId w:val="1069"/>
        </w:numPr>
      </w:pPr>
      <w:r>
        <w:t xml:space="preserve">Data Type (Int, Float, …)</w:t>
      </w:r>
    </w:p>
    <w:p>
      <w:pPr>
        <w:pStyle w:val="Compact"/>
        <w:numPr>
          <w:ilvl w:val="0"/>
          <w:numId w:val="1069"/>
        </w:numPr>
      </w:pPr>
      <w:r>
        <w:t xml:space="preserve">Bits per Sample</w:t>
      </w:r>
    </w:p>
    <w:p>
      <w:pPr>
        <w:pStyle w:val="Compact"/>
        <w:numPr>
          <w:ilvl w:val="0"/>
          <w:numId w:val="1069"/>
        </w:numPr>
      </w:pPr>
      <w:r>
        <w:t xml:space="preserve">Byte Order</w:t>
      </w:r>
    </w:p>
    <w:p>
      <w:pPr>
        <w:pStyle w:val="FirstParagraph"/>
      </w:pPr>
      <w:r>
        <w:t xml:space="preserve">Note:</w:t>
      </w:r>
    </w:p>
    <w:p>
      <w:pPr>
        <w:pStyle w:val="Compact"/>
        <w:numPr>
          <w:ilvl w:val="0"/>
          <w:numId w:val="1070"/>
        </w:numPr>
      </w:pPr>
      <w:r>
        <w:t xml:space="preserve">For CEOS-ARD products created from repeat-pass acquisitions, with narrow orbital tube radius, a single static per pixel metadata file can be provided as a URL address of that unique metadata file.</w:t>
      </w:r>
    </w:p>
    <w:bookmarkEnd w:id="195"/>
    <w:bookmarkStart w:id="196" w:name="assessment-38"/>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96"/>
    <w:bookmarkEnd w:id="197"/>
    <w:bookmarkStart w:id="201" w:name="sec:pxl-pacqidm"/>
    <w:p>
      <w:pPr>
        <w:pStyle w:val="berschrift4"/>
      </w:pPr>
      <w:r>
        <w:rPr>
          <w:rStyle w:val="VerbatimChar"/>
        </w:rPr>
        <w:t xml:space="preserve">4.8.</w:t>
      </w:r>
      <w:r>
        <w:t xml:space="preserve"> </w:t>
      </w:r>
      <w:r>
        <w:t xml:space="preserve">Acquisition ID Image</w:t>
      </w:r>
    </w:p>
    <w:p>
      <w:pPr>
        <w:pStyle w:val="FirstParagraph"/>
      </w:pPr>
      <w:r>
        <w:t xml:space="preserve">Identifier:</w:t>
      </w:r>
      <w:r>
        <w:t xml:space="preserve"> </w:t>
      </w:r>
      <w:r>
        <w:rPr>
          <w:rStyle w:val="VerbatimChar"/>
        </w:rPr>
        <w:t xml:space="preserve">pxl-pacqidm</w:t>
      </w:r>
    </w:p>
    <w:p>
      <w:pPr>
        <w:pStyle w:val="Textkrper"/>
      </w:pPr>
      <w:r>
        <w:rPr>
          <w:b/>
          <w:bCs/>
        </w:rPr>
        <w:t xml:space="preserve">Usage:</w:t>
      </w:r>
      <w:r>
        <w:t xml:space="preserve"> </w:t>
      </w:r>
      <w:r>
        <w:t xml:space="preserve">Required for mosaic products only.</w:t>
      </w:r>
    </w:p>
    <w:bookmarkStart w:id="198" w:name="threshold-requirements-39"/>
    <w:p>
      <w:pPr>
        <w:pStyle w:val="berschrift5"/>
      </w:pPr>
      <w:r>
        <w:t xml:space="preserve">Threshold requirements:</w:t>
      </w:r>
    </w:p>
    <w:p>
      <w:pPr>
        <w:pStyle w:val="FirstParagraph"/>
      </w:pPr>
      <w:r>
        <w:t xml:space="preserve">Acquisition ID, or acquisition date, for each pixel is identified.</w:t>
      </w:r>
    </w:p>
    <w:p>
      <w:pPr>
        <w:pStyle w:val="Textkrper"/>
      </w:pPr>
      <w:r>
        <w:t xml:space="preserve">In case of multi-temporal image stacks, use source acquisition ID (i.e.,</w:t>
      </w:r>
      <w:r>
        <w:t xml:space="preserve"> </w:t>
      </w:r>
      <w:hyperlink w:anchor="sec:src-macqid">
        <w:r>
          <w:rPr>
            <w:rStyle w:val="Hyperlink"/>
          </w:rPr>
          <w:t xml:space="preserve">Source Metadata: Acquisition ID</w:t>
        </w:r>
      </w:hyperlink>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or ID (e.g., pixels averaged in image overlap zones) are flagged with a pixel value referencing a date range that is provided in the metadata.</w:t>
      </w:r>
    </w:p>
    <w:p>
      <w:pPr>
        <w:pStyle w:val="Textkrper"/>
      </w:pPr>
      <w:r>
        <w:t xml:space="preserve">File format specifications/contents provided in metadata:</w:t>
      </w:r>
    </w:p>
    <w:p>
      <w:pPr>
        <w:pStyle w:val="Compact"/>
        <w:numPr>
          <w:ilvl w:val="0"/>
          <w:numId w:val="1072"/>
        </w:numPr>
      </w:pPr>
      <w:r>
        <w:t xml:space="preserve">Sample type (Day, Time, ID)</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bookmarkEnd w:id="198"/>
    <w:bookmarkStart w:id="199" w:name="goal-requirements-39"/>
    <w:p>
      <w:pPr>
        <w:pStyle w:val="berschrift5"/>
      </w:pPr>
      <w:r>
        <w:t xml:space="preserve">Goal requirements:</w:t>
      </w:r>
    </w:p>
    <w:p>
      <w:pPr>
        <w:pStyle w:val="FirstParagraph"/>
      </w:pPr>
      <w:r>
        <w:t xml:space="preserve">As threshold.</w:t>
      </w:r>
      <w:r>
        <w:t xml:space="preserve"> </w:t>
      </w:r>
    </w:p>
    <w:bookmarkEnd w:id="199"/>
    <w:bookmarkStart w:id="200" w:name="assessment-39"/>
    <w:p>
      <w:pPr>
        <w:pStyle w:val="berschrift5"/>
      </w:pPr>
      <w:r>
        <w:t xml:space="preserve">Assessment:</w:t>
      </w:r>
    </w:p>
    <w:p>
      <w:pPr>
        <w:pStyle w:val="Compact"/>
        <w:numPr>
          <w:ilvl w:val="0"/>
          <w:numId w:val="1073"/>
        </w:numPr>
      </w:pPr>
      <w:r>
        <w:t xml:space="preserve">Threshold Self-Assessment:</w:t>
      </w:r>
    </w:p>
    <w:p>
      <w:pPr>
        <w:pStyle w:val="Compact"/>
        <w:numPr>
          <w:ilvl w:val="0"/>
          <w:numId w:val="1073"/>
        </w:numPr>
      </w:pPr>
      <w:r>
        <w:t xml:space="preserve">Goal Self-Assessment:</w:t>
      </w:r>
    </w:p>
    <w:p>
      <w:pPr>
        <w:pStyle w:val="Compact"/>
        <w:numPr>
          <w:ilvl w:val="0"/>
          <w:numId w:val="1073"/>
        </w:numPr>
      </w:pPr>
      <w:r>
        <w:t xml:space="preserve">Self-Assessment Explanation/ Justification:</w:t>
      </w:r>
    </w:p>
    <w:p>
      <w:pPr>
        <w:pStyle w:val="Compact"/>
        <w:numPr>
          <w:ilvl w:val="0"/>
          <w:numId w:val="1073"/>
        </w:numPr>
      </w:pPr>
      <w:r>
        <w:t xml:space="preserve">Recommended Requirement Modification:</w:t>
      </w:r>
    </w:p>
    <w:p>
      <w:r>
        <w:pict>
          <v:rect style="width:0;height:1.5pt" o:hralign="center" o:hrstd="t" o:hr="t"/>
        </w:pict>
      </w:r>
    </w:p>
    <w:bookmarkEnd w:id="200"/>
    <w:bookmarkEnd w:id="201"/>
    <w:bookmarkStart w:id="205" w:name="sec:pxl-pidem"/>
    <w:p>
      <w:pPr>
        <w:pStyle w:val="berschrift4"/>
      </w:pPr>
      <w:r>
        <w:rPr>
          <w:rStyle w:val="VerbatimChar"/>
        </w:rPr>
        <w:t xml:space="preserve">4.9.</w:t>
      </w:r>
      <w:r>
        <w:t xml:space="preserve"> </w:t>
      </w:r>
      <w:r>
        <w:t xml:space="preserve">Per-Pixel DEM</w:t>
      </w:r>
    </w:p>
    <w:p>
      <w:pPr>
        <w:pStyle w:val="FirstParagraph"/>
      </w:pPr>
      <w:r>
        <w:t xml:space="preserve">Identifier:</w:t>
      </w:r>
      <w:r>
        <w:t xml:space="preserve"> </w:t>
      </w:r>
      <w:r>
        <w:rPr>
          <w:rStyle w:val="VerbatimChar"/>
        </w:rPr>
        <w:t xml:space="preserve">pxl-pidem</w:t>
      </w:r>
    </w:p>
    <w:bookmarkStart w:id="202" w:name="threshold-requirements-40"/>
    <w:p>
      <w:pPr>
        <w:pStyle w:val="berschrift5"/>
      </w:pPr>
      <w:r>
        <w:t xml:space="preserve">Threshold requirements:</w:t>
      </w:r>
    </w:p>
    <w:p>
      <w:pPr>
        <w:pStyle w:val="FirstParagraph"/>
      </w:pPr>
      <w:r>
        <w:t xml:space="preserve">Not required.</w:t>
      </w:r>
      <w:r>
        <w:t xml:space="preserve"> </w:t>
      </w:r>
    </w:p>
    <w:bookmarkEnd w:id="202"/>
    <w:bookmarkStart w:id="203" w:name="goal-requirements-40"/>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File format specifications/contents provided in metadata:</w:t>
      </w:r>
    </w:p>
    <w:p>
      <w:pPr>
        <w:pStyle w:val="Compact"/>
        <w:numPr>
          <w:ilvl w:val="0"/>
          <w:numId w:val="1074"/>
        </w:numPr>
      </w:pPr>
      <w:r>
        <w:t xml:space="preserve">Sample Type (Height)</w:t>
      </w:r>
    </w:p>
    <w:p>
      <w:pPr>
        <w:pStyle w:val="Compact"/>
        <w:numPr>
          <w:ilvl w:val="0"/>
          <w:numId w:val="1074"/>
        </w:numPr>
      </w:pPr>
      <w:r>
        <w:t xml:space="preserve">Data Format (GeoTIFF, HDF5, NetCDF, …)</w:t>
      </w:r>
    </w:p>
    <w:p>
      <w:pPr>
        <w:pStyle w:val="Compact"/>
        <w:numPr>
          <w:ilvl w:val="0"/>
          <w:numId w:val="1074"/>
        </w:numPr>
      </w:pPr>
      <w:r>
        <w:t xml:space="preserve">Data Type (Int, Float, …)</w:t>
      </w:r>
    </w:p>
    <w:p>
      <w:pPr>
        <w:pStyle w:val="Compact"/>
        <w:numPr>
          <w:ilvl w:val="0"/>
          <w:numId w:val="1074"/>
        </w:numPr>
      </w:pPr>
      <w:r>
        <w:t xml:space="preserve">Bits per Sample</w:t>
      </w:r>
    </w:p>
    <w:p>
      <w:pPr>
        <w:pStyle w:val="Compact"/>
        <w:numPr>
          <w:ilvl w:val="0"/>
          <w:numId w:val="1074"/>
        </w:numPr>
      </w:pPr>
      <w:r>
        <w:t xml:space="preserve">Byte Order</w:t>
      </w:r>
    </w:p>
    <w:p>
      <w:pPr>
        <w:pStyle w:val="FirstParagraph"/>
      </w:pPr>
      <w:r>
        <w:t xml:space="preserve">Note:</w:t>
      </w:r>
    </w:p>
    <w:p>
      <w:pPr>
        <w:pStyle w:val="Compact"/>
        <w:numPr>
          <w:ilvl w:val="0"/>
          <w:numId w:val="1075"/>
        </w:numPr>
      </w:pPr>
      <w:r>
        <w:t xml:space="preserve">For CEOS-ARD products created from repeat-pass acquisitions, with narrow orbital tube radius, a single static per pixel metadata file can be provided as a URL address of that unique metadata file.</w:t>
      </w:r>
    </w:p>
    <w:bookmarkEnd w:id="203"/>
    <w:bookmarkStart w:id="204" w:name="assessment-40"/>
    <w:p>
      <w:pPr>
        <w:pStyle w:val="berschrift5"/>
      </w:pPr>
      <w:r>
        <w:t xml:space="preserve">Assessment:</w:t>
      </w:r>
    </w:p>
    <w:p>
      <w:pPr>
        <w:pStyle w:val="Compact"/>
        <w:numPr>
          <w:ilvl w:val="0"/>
          <w:numId w:val="1076"/>
        </w:numPr>
      </w:pPr>
      <w:r>
        <w:t xml:space="preserve">Threshold Self-Assessment:</w:t>
      </w:r>
    </w:p>
    <w:p>
      <w:pPr>
        <w:pStyle w:val="Compact"/>
        <w:numPr>
          <w:ilvl w:val="0"/>
          <w:numId w:val="1076"/>
        </w:numPr>
      </w:pPr>
      <w:r>
        <w:t xml:space="preserve">Goal Self-Assessment:</w:t>
      </w:r>
    </w:p>
    <w:p>
      <w:pPr>
        <w:pStyle w:val="Compact"/>
        <w:numPr>
          <w:ilvl w:val="0"/>
          <w:numId w:val="1076"/>
        </w:numPr>
      </w:pPr>
      <w:r>
        <w:t xml:space="preserve">Self-Assessment Explanation/ Justification:</w:t>
      </w:r>
    </w:p>
    <w:p>
      <w:pPr>
        <w:pStyle w:val="Compact"/>
        <w:numPr>
          <w:ilvl w:val="0"/>
          <w:numId w:val="1076"/>
        </w:numPr>
      </w:pPr>
      <w:r>
        <w:t xml:space="preserve">Recommended Requirement Modification:</w:t>
      </w:r>
    </w:p>
    <w:p>
      <w:r>
        <w:pict>
          <v:rect style="width:0;height:1.5pt" o:hralign="center" o:hrstd="t" o:hr="t"/>
        </w:pict>
      </w:r>
    </w:p>
    <w:bookmarkEnd w:id="204"/>
    <w:bookmarkEnd w:id="205"/>
    <w:bookmarkStart w:id="209" w:name="sec:pxl-radulov-gslc"/>
    <w:p>
      <w:pPr>
        <w:pStyle w:val="berschrift4"/>
      </w:pPr>
      <w:r>
        <w:rPr>
          <w:rStyle w:val="VerbatimChar"/>
        </w:rPr>
        <w:t xml:space="preserve">4.10.</w:t>
      </w:r>
      <w:r>
        <w:t xml:space="preserve"> </w:t>
      </w:r>
      <w:r>
        <w:t xml:space="preserve">Radar Unit Look Vector Grid Image</w:t>
      </w:r>
    </w:p>
    <w:p>
      <w:pPr>
        <w:pStyle w:val="FirstParagraph"/>
      </w:pPr>
      <w:r>
        <w:t xml:space="preserve">Identifier:</w:t>
      </w:r>
      <w:r>
        <w:t xml:space="preserve"> </w:t>
      </w:r>
      <w:r>
        <w:rPr>
          <w:rStyle w:val="VerbatimChar"/>
        </w:rPr>
        <w:t xml:space="preserve">pxl-radulov-gslc</w:t>
      </w:r>
    </w:p>
    <w:bookmarkStart w:id="206" w:name="threshold-requirements-41"/>
    <w:p>
      <w:pPr>
        <w:pStyle w:val="berschrift5"/>
      </w:pPr>
      <w:r>
        <w:t xml:space="preserve">Threshold requirements:</w:t>
      </w:r>
    </w:p>
    <w:p>
      <w:pPr>
        <w:pStyle w:val="FirstParagraph"/>
      </w:pPr>
      <w:r>
        <w:t xml:space="preserve">Not required.</w:t>
      </w:r>
      <w:r>
        <w:t xml:space="preserve"> </w:t>
      </w:r>
    </w:p>
    <w:bookmarkEnd w:id="206"/>
    <w:bookmarkStart w:id="207" w:name="goal-requirements-41"/>
    <w:p>
      <w:pPr>
        <w:pStyle w:val="berschrift5"/>
      </w:pPr>
      <w:r>
        <w:t xml:space="preserve">Goal requirements:</w:t>
      </w:r>
    </w:p>
    <w:p>
      <w:pPr>
        <w:pStyle w:val="FirstParagraph"/>
      </w:pPr>
      <w:r>
        <w:t xml:space="preserve">3-D components radar unit look vector, specified at each pixel in an Earth-Centred Earth-Fixed (ECEF) coordinate system (also called Earth Centred Rotating – ECR), is provided.</w:t>
      </w:r>
      <w:r>
        <w:t xml:space="preserve"> </w:t>
      </w:r>
      <w:r>
        <w:t xml:space="preserve">It consists of unit vectors from the antenna to the surface pixel (i.e., positive Z component).</w:t>
      </w:r>
    </w:p>
    <w:p>
      <w:pPr>
        <w:pStyle w:val="Textkrper"/>
      </w:pPr>
      <w:r>
        <w:t xml:space="preserve">File format specifications/contents provided in metadata:</w:t>
      </w:r>
    </w:p>
    <w:p>
      <w:pPr>
        <w:pStyle w:val="Compact"/>
        <w:numPr>
          <w:ilvl w:val="0"/>
          <w:numId w:val="1077"/>
        </w:numPr>
      </w:pPr>
      <w:r>
        <w:t xml:space="preserve">Sample Type (3D unit vector)</w:t>
      </w:r>
    </w:p>
    <w:p>
      <w:pPr>
        <w:pStyle w:val="Compact"/>
        <w:numPr>
          <w:ilvl w:val="0"/>
          <w:numId w:val="1077"/>
        </w:numPr>
      </w:pPr>
      <w:r>
        <w:t xml:space="preserve">Data Format (GeoTIFF, HDF5, NetCDF, …)</w:t>
      </w:r>
    </w:p>
    <w:p>
      <w:pPr>
        <w:pStyle w:val="Compact"/>
        <w:numPr>
          <w:ilvl w:val="0"/>
          <w:numId w:val="1077"/>
        </w:numPr>
      </w:pPr>
      <w:r>
        <w:t xml:space="preserve">Data Type (Double Float, …)</w:t>
      </w:r>
    </w:p>
    <w:p>
      <w:pPr>
        <w:pStyle w:val="Compact"/>
        <w:numPr>
          <w:ilvl w:val="0"/>
          <w:numId w:val="1077"/>
        </w:numPr>
      </w:pPr>
      <w:r>
        <w:t xml:space="preserve">Bits per Sample</w:t>
      </w:r>
    </w:p>
    <w:p>
      <w:pPr>
        <w:pStyle w:val="Compact"/>
        <w:numPr>
          <w:ilvl w:val="0"/>
          <w:numId w:val="1077"/>
        </w:numPr>
      </w:pPr>
      <w:r>
        <w:t xml:space="preserve">Byte Order</w:t>
      </w:r>
    </w:p>
    <w:p>
      <w:pPr>
        <w:pStyle w:val="FirstParagraph"/>
      </w:pPr>
      <w:r>
        <w:t xml:space="preserve">Note:</w:t>
      </w:r>
    </w:p>
    <w:p>
      <w:pPr>
        <w:pStyle w:val="Compact"/>
        <w:numPr>
          <w:ilvl w:val="0"/>
          <w:numId w:val="1078"/>
        </w:numPr>
      </w:pPr>
      <w:r>
        <w:t xml:space="preserve">For CEOS-ARD products created from repeat-pass acquisitions, with narrow orbital tube radius, a single static per pixel metadata file can be provided as a URL address of that unique metadata file.</w:t>
      </w:r>
    </w:p>
    <w:bookmarkEnd w:id="207"/>
    <w:bookmarkStart w:id="208" w:name="assessment-41"/>
    <w:p>
      <w:pPr>
        <w:pStyle w:val="berschrift5"/>
      </w:pPr>
      <w:r>
        <w:t xml:space="preserve">Assessment:</w:t>
      </w:r>
    </w:p>
    <w:p>
      <w:pPr>
        <w:pStyle w:val="Compact"/>
        <w:numPr>
          <w:ilvl w:val="0"/>
          <w:numId w:val="1079"/>
        </w:numPr>
      </w:pPr>
      <w:r>
        <w:t xml:space="preserve">Threshold Self-Assessment:</w:t>
      </w:r>
    </w:p>
    <w:p>
      <w:pPr>
        <w:pStyle w:val="Compact"/>
        <w:numPr>
          <w:ilvl w:val="0"/>
          <w:numId w:val="1079"/>
        </w:numPr>
      </w:pPr>
      <w:r>
        <w:t xml:space="preserve">Goal Self-Assessment:</w:t>
      </w:r>
    </w:p>
    <w:p>
      <w:pPr>
        <w:pStyle w:val="Compact"/>
        <w:numPr>
          <w:ilvl w:val="0"/>
          <w:numId w:val="1079"/>
        </w:numPr>
      </w:pPr>
      <w:r>
        <w:t xml:space="preserve">Self-Assessment Explanation/ Justification:</w:t>
      </w:r>
    </w:p>
    <w:p>
      <w:pPr>
        <w:pStyle w:val="Compact"/>
        <w:numPr>
          <w:ilvl w:val="0"/>
          <w:numId w:val="1079"/>
        </w:numPr>
      </w:pPr>
      <w:r>
        <w:t xml:space="preserve">Recommended Requirement Modification:</w:t>
      </w:r>
    </w:p>
    <w:p>
      <w:r>
        <w:pict>
          <v:rect style="width:0;height:1.5pt" o:hralign="center" o:hrstd="t" o:hr="t"/>
        </w:pict>
      </w:r>
    </w:p>
    <w:bookmarkEnd w:id="208"/>
    <w:bookmarkEnd w:id="209"/>
    <w:bookmarkStart w:id="213" w:name="sec:pxl-slarassi-gslc"/>
    <w:p>
      <w:pPr>
        <w:pStyle w:val="berschrift4"/>
      </w:pPr>
      <w:r>
        <w:rPr>
          <w:rStyle w:val="VerbatimChar"/>
        </w:rPr>
        <w:t xml:space="preserve">4.11.</w:t>
      </w:r>
      <w:r>
        <w:t xml:space="preserve"> </w:t>
      </w:r>
      <w:r>
        <w:t xml:space="preserve">Slant Range Sensor to Surface Image</w:t>
      </w:r>
    </w:p>
    <w:p>
      <w:pPr>
        <w:pStyle w:val="FirstParagraph"/>
      </w:pPr>
      <w:r>
        <w:t xml:space="preserve">Identifier:</w:t>
      </w:r>
      <w:r>
        <w:t xml:space="preserve"> </w:t>
      </w:r>
      <w:r>
        <w:rPr>
          <w:rStyle w:val="VerbatimChar"/>
        </w:rPr>
        <w:t xml:space="preserve">pxl-slarassi-gslc</w:t>
      </w:r>
    </w:p>
    <w:bookmarkStart w:id="210" w:name="threshold-requirements-42"/>
    <w:p>
      <w:pPr>
        <w:pStyle w:val="berschrift5"/>
      </w:pPr>
      <w:r>
        <w:t xml:space="preserve">Threshold requirements:</w:t>
      </w:r>
    </w:p>
    <w:p>
      <w:pPr>
        <w:pStyle w:val="FirstParagraph"/>
      </w:pPr>
      <w:r>
        <w:t xml:space="preserve">Not required.</w:t>
      </w:r>
      <w:r>
        <w:t xml:space="preserve"> </w:t>
      </w:r>
    </w:p>
    <w:bookmarkEnd w:id="210"/>
    <w:bookmarkStart w:id="211" w:name="goal-requirements-42"/>
    <w:p>
      <w:pPr>
        <w:pStyle w:val="berschrift5"/>
      </w:pPr>
      <w:r>
        <w:t xml:space="preserve">Goal requirements:</w:t>
      </w:r>
    </w:p>
    <w:p>
      <w:pPr>
        <w:pStyle w:val="FirstParagraph"/>
      </w:pPr>
      <w:r>
        <w:t xml:space="preserve">Slant range distance from the sensor to the surface, specified at each pixel in an Earth-Centred Earth-Fixed (ECEF) coordinate system (also called Earth Centred Rotating – ECR) is provided.</w:t>
      </w:r>
    </w:p>
    <w:p>
      <w:pPr>
        <w:pStyle w:val="Textkrper"/>
      </w:pPr>
      <w:r>
        <w:t xml:space="preserve">File format specifications/contents provided in metadata:</w:t>
      </w:r>
    </w:p>
    <w:p>
      <w:pPr>
        <w:pStyle w:val="Compact"/>
        <w:numPr>
          <w:ilvl w:val="0"/>
          <w:numId w:val="1080"/>
        </w:numPr>
      </w:pPr>
      <w:r>
        <w:t xml:space="preserve">Sample Type (Length)</w:t>
      </w:r>
    </w:p>
    <w:p>
      <w:pPr>
        <w:pStyle w:val="Compact"/>
        <w:numPr>
          <w:ilvl w:val="0"/>
          <w:numId w:val="1080"/>
        </w:numPr>
      </w:pPr>
      <w:r>
        <w:t xml:space="preserve">Data Format (GeoTIFF, HDF5, NetCDF, …)</w:t>
      </w:r>
    </w:p>
    <w:p>
      <w:pPr>
        <w:pStyle w:val="Compact"/>
        <w:numPr>
          <w:ilvl w:val="0"/>
          <w:numId w:val="1080"/>
        </w:numPr>
      </w:pPr>
      <w:r>
        <w:t xml:space="preserve">Data Type (Float, …)</w:t>
      </w:r>
    </w:p>
    <w:p>
      <w:pPr>
        <w:pStyle w:val="Compact"/>
        <w:numPr>
          <w:ilvl w:val="0"/>
          <w:numId w:val="1080"/>
        </w:numPr>
      </w:pPr>
      <w:r>
        <w:t xml:space="preserve">Bits per Sample</w:t>
      </w:r>
    </w:p>
    <w:p>
      <w:pPr>
        <w:pStyle w:val="Compact"/>
        <w:numPr>
          <w:ilvl w:val="0"/>
          <w:numId w:val="1080"/>
        </w:numPr>
      </w:pPr>
      <w:r>
        <w:t xml:space="preserve">Byte Order</w:t>
      </w:r>
    </w:p>
    <w:p>
      <w:pPr>
        <w:pStyle w:val="FirstParagraph"/>
      </w:pPr>
      <w:r>
        <w:t xml:space="preserve">Note:</w:t>
      </w:r>
    </w:p>
    <w:p>
      <w:pPr>
        <w:pStyle w:val="Compact"/>
        <w:numPr>
          <w:ilvl w:val="0"/>
          <w:numId w:val="1081"/>
        </w:numPr>
      </w:pPr>
      <w:r>
        <w:t xml:space="preserve">For CEOS-ARD products created from repeat-pass acquisitions, with narrow orbital tube radius, a single static per pixel metadata file can be provided as a URL address of that unique metadata file.</w:t>
      </w:r>
    </w:p>
    <w:bookmarkEnd w:id="211"/>
    <w:bookmarkStart w:id="212" w:name="assessment-42"/>
    <w:p>
      <w:pPr>
        <w:pStyle w:val="berschrift5"/>
      </w:pPr>
      <w:r>
        <w:t xml:space="preserve">Assessment:</w:t>
      </w:r>
    </w:p>
    <w:p>
      <w:pPr>
        <w:pStyle w:val="Compact"/>
        <w:numPr>
          <w:ilvl w:val="0"/>
          <w:numId w:val="1082"/>
        </w:numPr>
      </w:pPr>
      <w:r>
        <w:t xml:space="preserve">Threshold Self-Assessment:</w:t>
      </w:r>
    </w:p>
    <w:p>
      <w:pPr>
        <w:pStyle w:val="Compact"/>
        <w:numPr>
          <w:ilvl w:val="0"/>
          <w:numId w:val="1082"/>
        </w:numPr>
      </w:pPr>
      <w:r>
        <w:t xml:space="preserve">Goal Self-Assessment:</w:t>
      </w:r>
    </w:p>
    <w:p>
      <w:pPr>
        <w:pStyle w:val="Compact"/>
        <w:numPr>
          <w:ilvl w:val="0"/>
          <w:numId w:val="1082"/>
        </w:numPr>
      </w:pPr>
      <w:r>
        <w:t xml:space="preserve">Self-Assessment Explanation/ Justification:</w:t>
      </w:r>
    </w:p>
    <w:p>
      <w:pPr>
        <w:pStyle w:val="Compact"/>
        <w:numPr>
          <w:ilvl w:val="0"/>
          <w:numId w:val="1082"/>
        </w:numPr>
      </w:pPr>
      <w:r>
        <w:t xml:space="preserve">Recommended Requirement Modification:</w:t>
      </w:r>
    </w:p>
    <w:p>
      <w:r>
        <w:pict>
          <v:rect style="width:0;height:1.5pt" o:hralign="center" o:hrstd="t" o:hr="t"/>
        </w:pict>
      </w:r>
    </w:p>
    <w:bookmarkEnd w:id="212"/>
    <w:bookmarkEnd w:id="213"/>
    <w:bookmarkStart w:id="217" w:name="sec:pxl-pinphun"/>
    <w:p>
      <w:pPr>
        <w:pStyle w:val="berschrift4"/>
      </w:pPr>
      <w:r>
        <w:rPr>
          <w:rStyle w:val="VerbatimChar"/>
        </w:rPr>
        <w:t xml:space="preserve">4.12.</w:t>
      </w:r>
      <w:r>
        <w:t xml:space="preserve"> </w:t>
      </w:r>
      <w:r>
        <w:t xml:space="preserve">InSAR Phase Uncertainty Image</w:t>
      </w:r>
    </w:p>
    <w:p>
      <w:pPr>
        <w:pStyle w:val="FirstParagraph"/>
      </w:pPr>
      <w:r>
        <w:t xml:space="preserve">Identifier:</w:t>
      </w:r>
      <w:r>
        <w:t xml:space="preserve"> </w:t>
      </w:r>
      <w:r>
        <w:rPr>
          <w:rStyle w:val="VerbatimChar"/>
        </w:rPr>
        <w:t xml:space="preserve">pxl-pinphun</w:t>
      </w:r>
    </w:p>
    <w:bookmarkStart w:id="214" w:name="threshold-requirements-43"/>
    <w:p>
      <w:pPr>
        <w:pStyle w:val="berschrift5"/>
      </w:pPr>
      <w:r>
        <w:t xml:space="preserve">Threshold requirements:</w:t>
      </w:r>
    </w:p>
    <w:p>
      <w:pPr>
        <w:pStyle w:val="FirstParagraph"/>
      </w:pPr>
      <w:r>
        <w:t xml:space="preserve">Not required.</w:t>
      </w:r>
      <w:r>
        <w:t xml:space="preserve"> </w:t>
      </w:r>
    </w:p>
    <w:bookmarkEnd w:id="214"/>
    <w:bookmarkStart w:id="215" w:name="goal-requirements-43"/>
    <w:p>
      <w:pPr>
        <w:pStyle w:val="berschrift5"/>
      </w:pPr>
      <w:r>
        <w:t xml:space="preserve">Goal requirements:</w:t>
      </w:r>
    </w:p>
    <w:p>
      <w:pPr>
        <w:pStyle w:val="FirstParagraph"/>
      </w:pPr>
      <w:r>
        <w:t xml:space="preserve">Estimates of uncertainty in InSAR phase is provided, such as finite signal to noise ratio, quantization noise, platform state vector accuracy, or DEM error.</w:t>
      </w:r>
      <w:r>
        <w:t xml:space="preserve"> </w:t>
      </w:r>
      <w:r>
        <w:t xml:space="preserve">Identification of which error sources are included will be provided as DOI/URL reference or brief description.</w:t>
      </w:r>
      <w:r>
        <w:t xml:space="preserve"> </w:t>
      </w:r>
      <w:r>
        <w:t xml:space="preserve">It represents statistical variation from known noise sources only.</w:t>
      </w:r>
      <w:r>
        <w:t xml:space="preserve"> </w:t>
      </w:r>
      <w:r>
        <w:t xml:space="preserve">In case both the wrapped and unwrapped interferograms are supplied, specify which interferogram the uncertainty image corresponds to.</w:t>
      </w:r>
    </w:p>
    <w:p>
      <w:pPr>
        <w:pStyle w:val="Textkrper"/>
      </w:pPr>
      <w:r>
        <w:t xml:space="preserve">File format specifications/contents provided in metadata:</w:t>
      </w:r>
    </w:p>
    <w:p>
      <w:pPr>
        <w:pStyle w:val="Compact"/>
        <w:numPr>
          <w:ilvl w:val="0"/>
          <w:numId w:val="1083"/>
        </w:numPr>
      </w:pPr>
      <w:r>
        <w:t xml:space="preserve">Sample Type (Angle)</w:t>
      </w:r>
    </w:p>
    <w:p>
      <w:pPr>
        <w:pStyle w:val="Compact"/>
        <w:numPr>
          <w:ilvl w:val="0"/>
          <w:numId w:val="1083"/>
        </w:numPr>
      </w:pPr>
      <w:r>
        <w:t xml:space="preserve">Data Format (GeoTIFF, HDF5, NetCDF, …)</w:t>
      </w:r>
    </w:p>
    <w:p>
      <w:pPr>
        <w:pStyle w:val="Compact"/>
        <w:numPr>
          <w:ilvl w:val="0"/>
          <w:numId w:val="1083"/>
        </w:numPr>
      </w:pPr>
      <w:r>
        <w:t xml:space="preserve">Data Type (Int, Float, …)</w:t>
      </w:r>
    </w:p>
    <w:p>
      <w:pPr>
        <w:pStyle w:val="Compact"/>
        <w:numPr>
          <w:ilvl w:val="0"/>
          <w:numId w:val="1083"/>
        </w:numPr>
      </w:pPr>
      <w:r>
        <w:t xml:space="preserve">Bits per Sample</w:t>
      </w:r>
    </w:p>
    <w:p>
      <w:pPr>
        <w:pStyle w:val="Compact"/>
        <w:numPr>
          <w:ilvl w:val="0"/>
          <w:numId w:val="1083"/>
        </w:numPr>
      </w:pPr>
      <w:r>
        <w:t xml:space="preserve">Byte Order</w:t>
      </w:r>
    </w:p>
    <w:bookmarkEnd w:id="215"/>
    <w:bookmarkStart w:id="216" w:name="assessment-43"/>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p>
      <w:r>
        <w:pict>
          <v:rect style="width:0;height:1.5pt" o:hralign="center" o:hrstd="t" o:hr="t"/>
        </w:pict>
      </w:r>
    </w:p>
    <w:bookmarkEnd w:id="216"/>
    <w:bookmarkEnd w:id="217"/>
    <w:bookmarkStart w:id="221" w:name="sec:pxl-atphaci"/>
    <w:p>
      <w:pPr>
        <w:pStyle w:val="berschrift4"/>
      </w:pPr>
      <w:r>
        <w:rPr>
          <w:rStyle w:val="VerbatimChar"/>
        </w:rPr>
        <w:t xml:space="preserve">4.13.</w:t>
      </w:r>
      <w:r>
        <w:t xml:space="preserve"> </w:t>
      </w:r>
      <w:r>
        <w:t xml:space="preserve">Atmospheric Phase Correction Image</w:t>
      </w:r>
    </w:p>
    <w:p>
      <w:pPr>
        <w:pStyle w:val="FirstParagraph"/>
      </w:pPr>
      <w:r>
        <w:t xml:space="preserve">Identifier:</w:t>
      </w:r>
      <w:r>
        <w:t xml:space="preserve"> </w:t>
      </w:r>
      <w:r>
        <w:rPr>
          <w:rStyle w:val="VerbatimChar"/>
        </w:rPr>
        <w:t xml:space="preserve">pxl-atphaci</w:t>
      </w:r>
    </w:p>
    <w:bookmarkStart w:id="218" w:name="threshold-requirements-44"/>
    <w:p>
      <w:pPr>
        <w:pStyle w:val="berschrift5"/>
      </w:pPr>
      <w:r>
        <w:t xml:space="preserve">Threshold requirements:</w:t>
      </w:r>
    </w:p>
    <w:p>
      <w:pPr>
        <w:pStyle w:val="FirstParagraph"/>
      </w:pPr>
      <w:r>
        <w:t xml:space="preserve">Not required.</w:t>
      </w:r>
      <w:r>
        <w:t xml:space="preserve"> </w:t>
      </w:r>
    </w:p>
    <w:bookmarkEnd w:id="218"/>
    <w:bookmarkStart w:id="219" w:name="goal-requirements-44"/>
    <w:p>
      <w:pPr>
        <w:pStyle w:val="berschrift5"/>
      </w:pPr>
      <w:r>
        <w:t xml:space="preserve">Goal requirements:</w:t>
      </w:r>
    </w:p>
    <w:p>
      <w:pPr>
        <w:pStyle w:val="FirstParagraph"/>
      </w:pPr>
      <w:r>
        <w:t xml:space="preserve">Phase correction value at each pixel, if applied.</w:t>
      </w:r>
    </w:p>
    <w:p>
      <w:pPr>
        <w:pStyle w:val="Textkrper"/>
      </w:pPr>
      <w:r>
        <w:t xml:space="preserve">File format specifications/contents provided in metadata:</w:t>
      </w:r>
    </w:p>
    <w:p>
      <w:pPr>
        <w:pStyle w:val="Compact"/>
        <w:numPr>
          <w:ilvl w:val="0"/>
          <w:numId w:val="1085"/>
        </w:numPr>
      </w:pPr>
      <w:r>
        <w:t xml:space="preserve">Sample Type (Angle)</w:t>
      </w:r>
    </w:p>
    <w:p>
      <w:pPr>
        <w:pStyle w:val="Compact"/>
        <w:numPr>
          <w:ilvl w:val="0"/>
          <w:numId w:val="1085"/>
        </w:numPr>
      </w:pPr>
      <w:r>
        <w:t xml:space="preserve">Data Format (GeoTIFF, HDF5, NetCDF, …)</w:t>
      </w:r>
    </w:p>
    <w:p>
      <w:pPr>
        <w:pStyle w:val="Compact"/>
        <w:numPr>
          <w:ilvl w:val="0"/>
          <w:numId w:val="1085"/>
        </w:numPr>
      </w:pPr>
      <w:r>
        <w:t xml:space="preserve">Data Type (Float, …)</w:t>
      </w:r>
    </w:p>
    <w:p>
      <w:pPr>
        <w:pStyle w:val="Compact"/>
        <w:numPr>
          <w:ilvl w:val="0"/>
          <w:numId w:val="1085"/>
        </w:numPr>
      </w:pPr>
      <w:r>
        <w:t xml:space="preserve">Bits per Sample</w:t>
      </w:r>
    </w:p>
    <w:p>
      <w:pPr>
        <w:pStyle w:val="Compact"/>
        <w:numPr>
          <w:ilvl w:val="0"/>
          <w:numId w:val="1085"/>
        </w:numPr>
      </w:pPr>
      <w:r>
        <w:t xml:space="preserve">Byte Order</w:t>
      </w:r>
    </w:p>
    <w:bookmarkEnd w:id="219"/>
    <w:bookmarkStart w:id="220" w:name="assessment-44"/>
    <w:p>
      <w:pPr>
        <w:pStyle w:val="berschrift5"/>
      </w:pPr>
      <w:r>
        <w:t xml:space="preserve">Assessment:</w:t>
      </w:r>
    </w:p>
    <w:p>
      <w:pPr>
        <w:pStyle w:val="Compact"/>
        <w:numPr>
          <w:ilvl w:val="0"/>
          <w:numId w:val="1086"/>
        </w:numPr>
      </w:pPr>
      <w:r>
        <w:t xml:space="preserve">Threshold Self-Assessment:</w:t>
      </w:r>
    </w:p>
    <w:p>
      <w:pPr>
        <w:pStyle w:val="Compact"/>
        <w:numPr>
          <w:ilvl w:val="0"/>
          <w:numId w:val="1086"/>
        </w:numPr>
      </w:pPr>
      <w:r>
        <w:t xml:space="preserve">Goal Self-Assessment:</w:t>
      </w:r>
    </w:p>
    <w:p>
      <w:pPr>
        <w:pStyle w:val="Compact"/>
        <w:numPr>
          <w:ilvl w:val="0"/>
          <w:numId w:val="1086"/>
        </w:numPr>
      </w:pPr>
      <w:r>
        <w:t xml:space="preserve">Self-Assessment Explanation/ Justification:</w:t>
      </w:r>
    </w:p>
    <w:p>
      <w:pPr>
        <w:pStyle w:val="Compact"/>
        <w:numPr>
          <w:ilvl w:val="0"/>
          <w:numId w:val="1086"/>
        </w:numPr>
      </w:pPr>
      <w:r>
        <w:t xml:space="preserve">Recommended Requirement Modification:</w:t>
      </w:r>
    </w:p>
    <w:p>
      <w:r>
        <w:pict>
          <v:rect style="width:0;height:1.5pt" o:hralign="center" o:hrstd="t" o:hr="t"/>
        </w:pict>
      </w:r>
    </w:p>
    <w:bookmarkEnd w:id="220"/>
    <w:bookmarkEnd w:id="221"/>
    <w:bookmarkStart w:id="225" w:name="sec:pxl-piopha"/>
    <w:p>
      <w:pPr>
        <w:pStyle w:val="berschrift4"/>
      </w:pPr>
      <w:r>
        <w:rPr>
          <w:rStyle w:val="VerbatimChar"/>
        </w:rPr>
        <w:t xml:space="preserve">4.14.</w:t>
      </w:r>
      <w:r>
        <w:t xml:space="preserve"> </w:t>
      </w:r>
      <w:r>
        <w:t xml:space="preserve">Ionospheric Phase Correction Image</w:t>
      </w:r>
    </w:p>
    <w:p>
      <w:pPr>
        <w:pStyle w:val="FirstParagraph"/>
      </w:pPr>
      <w:r>
        <w:t xml:space="preserve">Identifier:</w:t>
      </w:r>
      <w:r>
        <w:t xml:space="preserve"> </w:t>
      </w:r>
      <w:r>
        <w:rPr>
          <w:rStyle w:val="VerbatimChar"/>
        </w:rPr>
        <w:t xml:space="preserve">pxl-piopha</w:t>
      </w:r>
    </w:p>
    <w:bookmarkStart w:id="222" w:name="threshold-requirements-45"/>
    <w:p>
      <w:pPr>
        <w:pStyle w:val="berschrift5"/>
      </w:pPr>
      <w:r>
        <w:t xml:space="preserve">Threshold requirements:</w:t>
      </w:r>
    </w:p>
    <w:p>
      <w:pPr>
        <w:pStyle w:val="FirstParagraph"/>
      </w:pPr>
      <w:r>
        <w:t xml:space="preserve">Not required.</w:t>
      </w:r>
      <w:r>
        <w:t xml:space="preserve"> </w:t>
      </w:r>
    </w:p>
    <w:bookmarkEnd w:id="222"/>
    <w:bookmarkStart w:id="223" w:name="goal-requirements-45"/>
    <w:p>
      <w:pPr>
        <w:pStyle w:val="berschrift5"/>
      </w:pPr>
      <w:r>
        <w:t xml:space="preserve">Goal requirements:</w:t>
      </w:r>
    </w:p>
    <w:p>
      <w:pPr>
        <w:pStyle w:val="FirstParagraph"/>
      </w:pPr>
      <w:r>
        <w:t xml:space="preserve">Phase correction value at each pixel, if applied.</w:t>
      </w:r>
    </w:p>
    <w:p>
      <w:pPr>
        <w:pStyle w:val="Textkrper"/>
      </w:pPr>
      <w:r>
        <w:t xml:space="preserve">File format specifications/contents provided in metadata:</w:t>
      </w:r>
    </w:p>
    <w:p>
      <w:pPr>
        <w:pStyle w:val="Compact"/>
        <w:numPr>
          <w:ilvl w:val="0"/>
          <w:numId w:val="1087"/>
        </w:numPr>
      </w:pPr>
      <w:r>
        <w:t xml:space="preserve">Sample Type (Angle)</w:t>
      </w:r>
    </w:p>
    <w:p>
      <w:pPr>
        <w:pStyle w:val="Compact"/>
        <w:numPr>
          <w:ilvl w:val="0"/>
          <w:numId w:val="1087"/>
        </w:numPr>
      </w:pPr>
      <w:r>
        <w:t xml:space="preserve">Data Format (GeoTIFF, HDF5, NetCDF, …)</w:t>
      </w:r>
    </w:p>
    <w:p>
      <w:pPr>
        <w:pStyle w:val="Compact"/>
        <w:numPr>
          <w:ilvl w:val="0"/>
          <w:numId w:val="1087"/>
        </w:numPr>
      </w:pPr>
      <w:r>
        <w:t xml:space="preserve">Data Type (Float, …)</w:t>
      </w:r>
    </w:p>
    <w:p>
      <w:pPr>
        <w:pStyle w:val="Compact"/>
        <w:numPr>
          <w:ilvl w:val="0"/>
          <w:numId w:val="1087"/>
        </w:numPr>
      </w:pPr>
      <w:r>
        <w:t xml:space="preserve">Bits per Sample</w:t>
      </w:r>
    </w:p>
    <w:p>
      <w:pPr>
        <w:pStyle w:val="Compact"/>
        <w:numPr>
          <w:ilvl w:val="0"/>
          <w:numId w:val="1087"/>
        </w:numPr>
      </w:pPr>
      <w:r>
        <w:t xml:space="preserve">Byte Order</w:t>
      </w:r>
    </w:p>
    <w:bookmarkEnd w:id="223"/>
    <w:bookmarkStart w:id="224" w:name="assessment-45"/>
    <w:p>
      <w:pPr>
        <w:pStyle w:val="berschrift5"/>
      </w:pPr>
      <w:r>
        <w:t xml:space="preserve">Assessment:</w:t>
      </w:r>
    </w:p>
    <w:p>
      <w:pPr>
        <w:pStyle w:val="Compact"/>
        <w:numPr>
          <w:ilvl w:val="0"/>
          <w:numId w:val="1088"/>
        </w:numPr>
      </w:pPr>
      <w:r>
        <w:t xml:space="preserve">Threshold Self-Assessment:</w:t>
      </w:r>
    </w:p>
    <w:p>
      <w:pPr>
        <w:pStyle w:val="Compact"/>
        <w:numPr>
          <w:ilvl w:val="0"/>
          <w:numId w:val="1088"/>
        </w:numPr>
      </w:pPr>
      <w:r>
        <w:t xml:space="preserve">Goal Self-Assessment:</w:t>
      </w:r>
    </w:p>
    <w:p>
      <w:pPr>
        <w:pStyle w:val="Compact"/>
        <w:numPr>
          <w:ilvl w:val="0"/>
          <w:numId w:val="1088"/>
        </w:numPr>
      </w:pPr>
      <w:r>
        <w:t xml:space="preserve">Self-Assessment Explanation/ Justification:</w:t>
      </w:r>
    </w:p>
    <w:p>
      <w:pPr>
        <w:pStyle w:val="Compact"/>
        <w:numPr>
          <w:ilvl w:val="0"/>
          <w:numId w:val="1088"/>
        </w:numPr>
      </w:pPr>
      <w:r>
        <w:t xml:space="preserve">Recommended Requirement Modification:</w:t>
      </w:r>
    </w:p>
    <w:bookmarkEnd w:id="224"/>
    <w:bookmarkEnd w:id="225"/>
    <w:bookmarkEnd w:id="226"/>
    <w:bookmarkStart w:id="247"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30" w:name="sec:rcm-backsca-gslc"/>
    <w:p>
      <w:pPr>
        <w:pStyle w:val="berschrift4"/>
      </w:pPr>
      <w:r>
        <w:rPr>
          <w:rStyle w:val="VerbatimChar"/>
        </w:rPr>
        <w:t xml:space="preserve">5.1.</w:t>
      </w:r>
      <w:r>
        <w:t xml:space="preserve"> </w:t>
      </w:r>
      <w:r>
        <w:t xml:space="preserve">Backscatter Measurements (GSLC)</w:t>
      </w:r>
    </w:p>
    <w:p>
      <w:pPr>
        <w:pStyle w:val="FirstParagraph"/>
      </w:pPr>
      <w:r>
        <w:t xml:space="preserve">Identifier:</w:t>
      </w:r>
      <w:r>
        <w:t xml:space="preserve"> </w:t>
      </w:r>
      <w:r>
        <w:rPr>
          <w:rStyle w:val="VerbatimChar"/>
        </w:rPr>
        <w:t xml:space="preserve">rcm-backsca-gslc</w:t>
      </w:r>
    </w:p>
    <w:bookmarkStart w:id="227" w:name="threshold-requirements-46"/>
    <w:p>
      <w:pPr>
        <w:pStyle w:val="berschrift5"/>
      </w:pPr>
      <w:r>
        <w:t xml:space="preserve">Threshold requirements:</w:t>
      </w:r>
    </w:p>
    <w:p>
      <w:pPr>
        <w:pStyle w:val="FirstParagraph"/>
      </w:pPr>
      <w:r>
        <w:t xml:space="preserve">Backscatter coefficient, in complex number format, is provided for each polarization (e.g., HH, HV, VV, VH).</w:t>
      </w:r>
      <w:r>
        <w:t xml:space="preserve"> </w:t>
      </w:r>
      <w:r>
        <w:t xml:space="preserve">GSLC phase is terrain-flattened using Earth ellipsoid and digital elevation or surface models.</w:t>
      </w:r>
    </w:p>
    <w:p>
      <w:pPr>
        <w:pStyle w:val="Textkrper"/>
      </w:pPr>
      <w:r>
        <w:t xml:space="preserve">File format specifications/contents provided in metadata:</w:t>
      </w:r>
    </w:p>
    <w:p>
      <w:pPr>
        <w:pStyle w:val="Compact"/>
        <w:numPr>
          <w:ilvl w:val="0"/>
          <w:numId w:val="1089"/>
        </w:numPr>
      </w:pPr>
      <w:r>
        <w:t xml:space="preserve">Measurement Type (Gamma-Nought, Sigma-Nought, or Beta-Nought)</w:t>
      </w:r>
    </w:p>
    <w:p>
      <w:pPr>
        <w:pStyle w:val="Compact"/>
        <w:numPr>
          <w:ilvl w:val="0"/>
          <w:numId w:val="1089"/>
        </w:numPr>
      </w:pPr>
      <w:r>
        <w:t xml:space="preserve">Backscatter Expression Convention (linear amplitude, or linear power [see note])</w:t>
      </w:r>
    </w:p>
    <w:p>
      <w:pPr>
        <w:pStyle w:val="Compact"/>
        <w:numPr>
          <w:ilvl w:val="0"/>
          <w:numId w:val="1089"/>
        </w:numPr>
      </w:pPr>
      <w:r>
        <w:t xml:space="preserve">Polarization (HH, HV, VV, VH)</w:t>
      </w:r>
    </w:p>
    <w:p>
      <w:pPr>
        <w:pStyle w:val="Compact"/>
        <w:numPr>
          <w:ilvl w:val="0"/>
          <w:numId w:val="1089"/>
        </w:numPr>
      </w:pPr>
      <w:r>
        <w:t xml:space="preserve">Data Format (GeoTIFF, HDF5, NetCDF, …)</w:t>
      </w:r>
    </w:p>
    <w:p>
      <w:pPr>
        <w:pStyle w:val="Compact"/>
        <w:numPr>
          <w:ilvl w:val="0"/>
          <w:numId w:val="1089"/>
        </w:numPr>
      </w:pPr>
      <w:r>
        <w:t xml:space="preserve">Data Type (Int, Float, …)</w:t>
      </w:r>
    </w:p>
    <w:p>
      <w:pPr>
        <w:pStyle w:val="Compact"/>
        <w:numPr>
          <w:ilvl w:val="0"/>
          <w:numId w:val="1089"/>
        </w:numPr>
      </w:pPr>
      <w:r>
        <w:t xml:space="preserve">Bits per Sample</w:t>
      </w:r>
    </w:p>
    <w:p>
      <w:pPr>
        <w:pStyle w:val="Compact"/>
        <w:numPr>
          <w:ilvl w:val="0"/>
          <w:numId w:val="1089"/>
        </w:numPr>
      </w:pPr>
      <w:r>
        <w:t xml:space="preserve">Byte Order</w:t>
      </w:r>
    </w:p>
    <w:p>
      <w:pPr>
        <w:pStyle w:val="FirstParagraph"/>
      </w:pPr>
      <w:r>
        <w:t xml:space="preserve">Note:</w:t>
      </w:r>
    </w:p>
    <w:p>
      <w:pPr>
        <w:pStyle w:val="Compact"/>
        <w:numPr>
          <w:ilvl w:val="0"/>
          <w:numId w:val="1090"/>
        </w:numPr>
      </w:pPr>
      <w:r>
        <w:t xml:space="preserve">Transformation to the logarithm decibel scale is not required or desired as this step can be completed by the user if necessary.</w:t>
      </w:r>
    </w:p>
    <w:bookmarkEnd w:id="227"/>
    <w:bookmarkStart w:id="228" w:name="goal-requirements-46"/>
    <w:p>
      <w:pPr>
        <w:pStyle w:val="berschrift5"/>
      </w:pPr>
      <w:r>
        <w:t xml:space="preserve">Goal requirements:</w:t>
      </w:r>
    </w:p>
    <w:p>
      <w:pPr>
        <w:pStyle w:val="FirstParagraph"/>
      </w:pPr>
      <w:r>
        <w:rPr>
          <w:b/>
          <w:bCs/>
        </w:rPr>
        <w:t xml:space="preserve">Radiometric and Phase Terrain-flattened</w:t>
      </w:r>
      <w:r>
        <w:t xml:space="preserve"> </w:t>
      </w:r>
      <w:r>
        <w:t xml:space="preserve">Gamma-Nought backscatter coefficient (</w:t>
      </w:r>
      <m:oMath>
        <m:sSubSup>
          <m:e>
            <m:r>
              <m:t>γ</m:t>
            </m:r>
          </m:e>
          <m:sub>
            <m:r>
              <m:t>T</m:t>
            </m:r>
          </m:sub>
          <m:sup>
            <m:r>
              <m:t>0</m:t>
            </m:r>
          </m:sup>
        </m:sSubSup>
      </m:oMath>
      <w:r>
        <w:t xml:space="preserve">), in complex number format, is provided for each polarization (e.g., HH, HV, VV, VH).</w:t>
      </w:r>
    </w:p>
    <w:bookmarkEnd w:id="228"/>
    <w:bookmarkStart w:id="229" w:name="assessment-46"/>
    <w:p>
      <w:pPr>
        <w:pStyle w:val="berschrift5"/>
      </w:pPr>
      <w:r>
        <w:t xml:space="preserve">Assessment:</w:t>
      </w:r>
    </w:p>
    <w:p>
      <w:pPr>
        <w:pStyle w:val="Compact"/>
        <w:numPr>
          <w:ilvl w:val="0"/>
          <w:numId w:val="1091"/>
        </w:numPr>
      </w:pPr>
      <w:r>
        <w:t xml:space="preserve">Threshold Self-Assessment:</w:t>
      </w:r>
    </w:p>
    <w:p>
      <w:pPr>
        <w:pStyle w:val="Compact"/>
        <w:numPr>
          <w:ilvl w:val="0"/>
          <w:numId w:val="1091"/>
        </w:numPr>
      </w:pPr>
      <w:r>
        <w:t xml:space="preserve">Goal Self-Assessment:</w:t>
      </w:r>
    </w:p>
    <w:p>
      <w:pPr>
        <w:pStyle w:val="Compact"/>
        <w:numPr>
          <w:ilvl w:val="0"/>
          <w:numId w:val="1091"/>
        </w:numPr>
      </w:pPr>
      <w:r>
        <w:t xml:space="preserve">Self-Assessment Explanation/ Justification:</w:t>
      </w:r>
    </w:p>
    <w:p>
      <w:pPr>
        <w:pStyle w:val="Compact"/>
        <w:numPr>
          <w:ilvl w:val="0"/>
          <w:numId w:val="1091"/>
        </w:numPr>
      </w:pPr>
      <w:r>
        <w:t xml:space="preserve">Recommended Requirement Modification:</w:t>
      </w:r>
    </w:p>
    <w:p>
      <w:r>
        <w:pict>
          <v:rect style="width:0;height:1.5pt" o:hralign="center" o:hrstd="t" o:hr="t"/>
        </w:pict>
      </w:r>
    </w:p>
    <w:bookmarkEnd w:id="229"/>
    <w:bookmarkEnd w:id="230"/>
    <w:bookmarkStart w:id="234"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31" w:name="threshold-requirements-47"/>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31"/>
    <w:bookmarkStart w:id="232" w:name="goal-requirements-47"/>
    <w:p>
      <w:pPr>
        <w:pStyle w:val="berschrift5"/>
      </w:pPr>
      <w:r>
        <w:t xml:space="preserve">Goal requirements:</w:t>
      </w:r>
    </w:p>
    <w:p>
      <w:pPr>
        <w:pStyle w:val="FirstParagraph"/>
      </w:pPr>
      <w:r>
        <w:t xml:space="preserve">As threshold, but use of float32.</w:t>
      </w:r>
    </w:p>
    <w:bookmarkEnd w:id="232"/>
    <w:bookmarkStart w:id="233" w:name="assessment-47"/>
    <w:p>
      <w:pPr>
        <w:pStyle w:val="berschrift5"/>
      </w:pPr>
      <w:r>
        <w:t xml:space="preserve">Assessment:</w:t>
      </w:r>
    </w:p>
    <w:p>
      <w:pPr>
        <w:pStyle w:val="Compact"/>
        <w:numPr>
          <w:ilvl w:val="0"/>
          <w:numId w:val="1092"/>
        </w:numPr>
      </w:pPr>
      <w:r>
        <w:t xml:space="preserve">Threshold Self-Assessment:</w:t>
      </w:r>
    </w:p>
    <w:p>
      <w:pPr>
        <w:pStyle w:val="Compact"/>
        <w:numPr>
          <w:ilvl w:val="0"/>
          <w:numId w:val="1092"/>
        </w:numPr>
      </w:pPr>
      <w:r>
        <w:t xml:space="preserve">Goal Self-Assessment:</w:t>
      </w:r>
    </w:p>
    <w:p>
      <w:pPr>
        <w:pStyle w:val="Compact"/>
        <w:numPr>
          <w:ilvl w:val="0"/>
          <w:numId w:val="1092"/>
        </w:numPr>
      </w:pPr>
      <w:r>
        <w:t xml:space="preserve">Self-Assessment Explanation/ Justification:</w:t>
      </w:r>
    </w:p>
    <w:p>
      <w:pPr>
        <w:pStyle w:val="Compact"/>
        <w:numPr>
          <w:ilvl w:val="0"/>
          <w:numId w:val="1092"/>
        </w:numPr>
      </w:pPr>
      <w:r>
        <w:t xml:space="preserve">Recommended Requirement Modification:</w:t>
      </w:r>
    </w:p>
    <w:p>
      <w:r>
        <w:pict>
          <v:rect style="width:0;height:1.5pt" o:hralign="center" o:hrstd="t" o:hr="t"/>
        </w:pict>
      </w:r>
    </w:p>
    <w:bookmarkEnd w:id="233"/>
    <w:bookmarkEnd w:id="234"/>
    <w:bookmarkStart w:id="238"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35" w:name="threshold-requirements-48"/>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93"/>
        </w:numPr>
      </w:pPr>
      <w:r>
        <w:t xml:space="preserve">Thermal noise removal and image border noise removal to remove overall scene noise and scene edge artefacts, respectively.</w:t>
      </w:r>
    </w:p>
    <w:bookmarkEnd w:id="235"/>
    <w:bookmarkStart w:id="236" w:name="goal-requirements-48"/>
    <w:p>
      <w:pPr>
        <w:pStyle w:val="berschrift5"/>
      </w:pPr>
      <w:r>
        <w:t xml:space="preserve">Goal requirements:</w:t>
      </w:r>
    </w:p>
    <w:p>
      <w:pPr>
        <w:pStyle w:val="FirstParagraph"/>
      </w:pPr>
      <w:r>
        <w:t xml:space="preserve">As threshold.</w:t>
      </w:r>
      <w:r>
        <w:t xml:space="preserve"> </w:t>
      </w:r>
    </w:p>
    <w:bookmarkEnd w:id="236"/>
    <w:bookmarkStart w:id="237" w:name="assessment-48"/>
    <w:p>
      <w:pPr>
        <w:pStyle w:val="berschrift5"/>
      </w:pPr>
      <w:r>
        <w:t xml:space="preserve">Assessment:</w:t>
      </w:r>
    </w:p>
    <w:p>
      <w:pPr>
        <w:pStyle w:val="Compact"/>
        <w:numPr>
          <w:ilvl w:val="0"/>
          <w:numId w:val="1094"/>
        </w:numPr>
      </w:pPr>
      <w:r>
        <w:t xml:space="preserve">Threshold Self-Assessment:</w:t>
      </w:r>
    </w:p>
    <w:p>
      <w:pPr>
        <w:pStyle w:val="Compact"/>
        <w:numPr>
          <w:ilvl w:val="0"/>
          <w:numId w:val="1094"/>
        </w:numPr>
      </w:pPr>
      <w:r>
        <w:t xml:space="preserve">Goal Self-Assessment:</w:t>
      </w:r>
    </w:p>
    <w:p>
      <w:pPr>
        <w:pStyle w:val="Compact"/>
        <w:numPr>
          <w:ilvl w:val="0"/>
          <w:numId w:val="1094"/>
        </w:numPr>
      </w:pPr>
      <w:r>
        <w:t xml:space="preserve">Self-Assessment Explanation/ Justification:</w:t>
      </w:r>
    </w:p>
    <w:p>
      <w:pPr>
        <w:pStyle w:val="Compact"/>
        <w:numPr>
          <w:ilvl w:val="0"/>
          <w:numId w:val="1094"/>
        </w:numPr>
      </w:pPr>
      <w:r>
        <w:t xml:space="preserve">Recommended Requirement Modification:</w:t>
      </w:r>
    </w:p>
    <w:p>
      <w:r>
        <w:pict>
          <v:rect style="width:0;height:1.5pt" o:hralign="center" o:hrstd="t" o:hr="t"/>
        </w:pict>
      </w:r>
    </w:p>
    <w:bookmarkEnd w:id="237"/>
    <w:bookmarkEnd w:id="238"/>
    <w:bookmarkStart w:id="242" w:name="sec:rcm-radtalg-min"/>
    <w:p>
      <w:pPr>
        <w:pStyle w:val="berschrift4"/>
      </w:pPr>
      <w:r>
        <w:rPr>
          <w:rStyle w:val="VerbatimChar"/>
        </w:rPr>
        <w:t xml:space="preserve">5.4.</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rcm-radtalg-min</w:t>
      </w:r>
    </w:p>
    <w:bookmarkStart w:id="239" w:name="threshold-requirements-49"/>
    <w:p>
      <w:pPr>
        <w:pStyle w:val="berschrift5"/>
      </w:pPr>
      <w:r>
        <w:t xml:space="preserve">Threshold requirements:</w:t>
      </w:r>
    </w:p>
    <w:p>
      <w:pPr>
        <w:pStyle w:val="FirstParagraph"/>
      </w:pPr>
      <w:r>
        <w:t xml:space="preserve">Not required.</w:t>
      </w:r>
      <w:r>
        <w:t xml:space="preserve"> </w:t>
      </w:r>
    </w:p>
    <w:bookmarkEnd w:id="239"/>
    <w:bookmarkStart w:id="240" w:name="goal-requirements-49"/>
    <w:p>
      <w:pPr>
        <w:pStyle w:val="berschrift5"/>
      </w:pPr>
      <w:r>
        <w:t xml:space="preserve">Goal requirements:</w:t>
      </w:r>
    </w:p>
    <w:p>
      <w:pPr>
        <w:pStyle w:val="FirstParagraph"/>
      </w:pPr>
      <w:r>
        <w:t xml:space="preserve">Require resolution of DEM better than the output product resolution when applying terrain corrections.</w:t>
      </w:r>
    </w:p>
    <w:bookmarkEnd w:id="240"/>
    <w:bookmarkStart w:id="241" w:name="assessment-49"/>
    <w:p>
      <w:pPr>
        <w:pStyle w:val="berschrift5"/>
      </w:pPr>
      <w:r>
        <w:t xml:space="preserve">Assessment:</w:t>
      </w:r>
    </w:p>
    <w:p>
      <w:pPr>
        <w:pStyle w:val="Compact"/>
        <w:numPr>
          <w:ilvl w:val="0"/>
          <w:numId w:val="1095"/>
        </w:numPr>
      </w:pPr>
      <w:r>
        <w:t xml:space="preserve">Threshold Self-Assessment:</w:t>
      </w:r>
    </w:p>
    <w:p>
      <w:pPr>
        <w:pStyle w:val="Compact"/>
        <w:numPr>
          <w:ilvl w:val="0"/>
          <w:numId w:val="1095"/>
        </w:numPr>
      </w:pPr>
      <w:r>
        <w:t xml:space="preserve">Goal Self-Assessment:</w:t>
      </w:r>
    </w:p>
    <w:p>
      <w:pPr>
        <w:pStyle w:val="Compact"/>
        <w:numPr>
          <w:ilvl w:val="0"/>
          <w:numId w:val="1095"/>
        </w:numPr>
      </w:pPr>
      <w:r>
        <w:t xml:space="preserve">Self-Assessment Explanation/ Justification:</w:t>
      </w:r>
    </w:p>
    <w:p>
      <w:pPr>
        <w:pStyle w:val="Compact"/>
        <w:numPr>
          <w:ilvl w:val="0"/>
          <w:numId w:val="1095"/>
        </w:numPr>
      </w:pPr>
      <w:r>
        <w:t xml:space="preserve">Recommended Requirement Modification:</w:t>
      </w:r>
    </w:p>
    <w:p>
      <w:r>
        <w:pict>
          <v:rect style="width:0;height:1.5pt" o:hralign="center" o:hrstd="t" o:hr="t"/>
        </w:pict>
      </w:r>
    </w:p>
    <w:bookmarkEnd w:id="241"/>
    <w:bookmarkEnd w:id="242"/>
    <w:bookmarkStart w:id="246"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43" w:name="threshold-requirements-50"/>
    <w:p>
      <w:pPr>
        <w:pStyle w:val="berschrift5"/>
      </w:pPr>
      <w:r>
        <w:t xml:space="preserve">Threshold requirements:</w:t>
      </w:r>
    </w:p>
    <w:p>
      <w:pPr>
        <w:pStyle w:val="FirstParagraph"/>
      </w:pPr>
      <w:r>
        <w:t xml:space="preserve">Not required.</w:t>
      </w:r>
      <w:r>
        <w:t xml:space="preserve"> </w:t>
      </w:r>
    </w:p>
    <w:bookmarkEnd w:id="243"/>
    <w:bookmarkStart w:id="244" w:name="goal-requirements-50"/>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44"/>
    <w:bookmarkStart w:id="245" w:name="assessment-50"/>
    <w:p>
      <w:pPr>
        <w:pStyle w:val="berschrift5"/>
      </w:pPr>
      <w:r>
        <w:t xml:space="preserve">Assessment:</w:t>
      </w:r>
    </w:p>
    <w:p>
      <w:pPr>
        <w:pStyle w:val="Compact"/>
        <w:numPr>
          <w:ilvl w:val="0"/>
          <w:numId w:val="1096"/>
        </w:numPr>
      </w:pPr>
      <w:r>
        <w:t xml:space="preserve">Threshold Self-Assessment:</w:t>
      </w:r>
    </w:p>
    <w:p>
      <w:pPr>
        <w:pStyle w:val="Compact"/>
        <w:numPr>
          <w:ilvl w:val="0"/>
          <w:numId w:val="1096"/>
        </w:numPr>
      </w:pPr>
      <w:r>
        <w:t xml:space="preserve">Goal Self-Assessment:</w:t>
      </w:r>
    </w:p>
    <w:p>
      <w:pPr>
        <w:pStyle w:val="Compact"/>
        <w:numPr>
          <w:ilvl w:val="0"/>
          <w:numId w:val="1096"/>
        </w:numPr>
      </w:pPr>
      <w:r>
        <w:t xml:space="preserve">Self-Assessment Explanation/ Justification:</w:t>
      </w:r>
    </w:p>
    <w:p>
      <w:pPr>
        <w:pStyle w:val="Compact"/>
        <w:numPr>
          <w:ilvl w:val="0"/>
          <w:numId w:val="1096"/>
        </w:numPr>
      </w:pPr>
      <w:r>
        <w:t xml:space="preserve">Recommended Requirement Modification:</w:t>
      </w:r>
    </w:p>
    <w:bookmarkEnd w:id="245"/>
    <w:bookmarkEnd w:id="246"/>
    <w:bookmarkEnd w:id="247"/>
    <w:bookmarkStart w:id="268"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51"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48" w:name="threshold-requirements-51"/>
    <w:p>
      <w:pPr>
        <w:pStyle w:val="berschrift5"/>
      </w:pPr>
      <w:r>
        <w:t xml:space="preserve">Threshold requirements:</w:t>
      </w:r>
    </w:p>
    <w:p>
      <w:pPr>
        <w:pStyle w:val="FirstParagraph"/>
      </w:pPr>
      <w:r>
        <w:t xml:space="preserve">Not required.</w:t>
      </w:r>
      <w:r>
        <w:t xml:space="preserve"> </w:t>
      </w:r>
    </w:p>
    <w:bookmarkEnd w:id="248"/>
    <w:bookmarkStart w:id="249" w:name="goal-requirements-51"/>
    <w:p>
      <w:pPr>
        <w:pStyle w:val="berschrift5"/>
      </w:pPr>
      <w:r>
        <w:t xml:space="preserve">Goal requirements:</w:t>
      </w:r>
    </w:p>
    <w:p>
      <w:pPr>
        <w:pStyle w:val="FirstParagraph"/>
      </w:pPr>
      <w:r>
        <w:t xml:space="preserve">Metadata references, e.g.:</w:t>
      </w:r>
    </w:p>
    <w:p>
      <w:pPr>
        <w:pStyle w:val="Compact"/>
        <w:numPr>
          <w:ilvl w:val="0"/>
          <w:numId w:val="1097"/>
        </w:numPr>
      </w:pPr>
      <w:r>
        <w:t xml:space="preserve">A metadata citable peer-reviewed algorithm</w:t>
      </w:r>
    </w:p>
    <w:p>
      <w:pPr>
        <w:pStyle w:val="Compact"/>
        <w:numPr>
          <w:ilvl w:val="0"/>
          <w:numId w:val="1097"/>
        </w:numPr>
      </w:pPr>
      <w:r>
        <w:t xml:space="preserve">Technical documentation regarding the implementation of that algorithm expressed as URLs or DOIs</w:t>
      </w:r>
    </w:p>
    <w:p>
      <w:pPr>
        <w:pStyle w:val="Compact"/>
        <w:numPr>
          <w:ilvl w:val="0"/>
          <w:numId w:val="1097"/>
        </w:numPr>
      </w:pPr>
      <w:r>
        <w:t xml:space="preserve">The sources of auxiliary data used to make corrections</w:t>
      </w:r>
    </w:p>
    <w:p>
      <w:pPr>
        <w:pStyle w:val="Compact"/>
        <w:numPr>
          <w:ilvl w:val="0"/>
          <w:numId w:val="1097"/>
        </w:numPr>
      </w:pPr>
      <w:r>
        <w:t xml:space="preserve">Resampling method used for geometric processing of the source data</w:t>
      </w:r>
    </w:p>
    <w:p>
      <w:pPr>
        <w:pStyle w:val="FirstParagraph"/>
      </w:pPr>
      <w:r>
        <w:t xml:space="preserve">Note:</w:t>
      </w:r>
    </w:p>
    <w:p>
      <w:pPr>
        <w:pStyle w:val="Compact"/>
        <w:numPr>
          <w:ilvl w:val="0"/>
          <w:numId w:val="1098"/>
        </w:numPr>
      </w:pPr>
      <w:r>
        <w:t xml:space="preserve">Examples of technical documentation can include e.g., an Algorithm Theoretical Basis Document (ATBD), or a product user guide.</w:t>
      </w:r>
    </w:p>
    <w:bookmarkEnd w:id="249"/>
    <w:bookmarkStart w:id="250" w:name="assessment-51"/>
    <w:p>
      <w:pPr>
        <w:pStyle w:val="berschrift5"/>
      </w:pPr>
      <w:r>
        <w:t xml:space="preserve">Assessment:</w:t>
      </w:r>
    </w:p>
    <w:p>
      <w:pPr>
        <w:pStyle w:val="Compact"/>
        <w:numPr>
          <w:ilvl w:val="0"/>
          <w:numId w:val="1099"/>
        </w:numPr>
      </w:pPr>
      <w:r>
        <w:t xml:space="preserve">Threshold Self-Assessment:</w:t>
      </w:r>
    </w:p>
    <w:p>
      <w:pPr>
        <w:pStyle w:val="Compact"/>
        <w:numPr>
          <w:ilvl w:val="0"/>
          <w:numId w:val="1099"/>
        </w:numPr>
      </w:pPr>
      <w:r>
        <w:t xml:space="preserve">Goal Self-Assessment:</w:t>
      </w:r>
    </w:p>
    <w:p>
      <w:pPr>
        <w:pStyle w:val="Compact"/>
        <w:numPr>
          <w:ilvl w:val="0"/>
          <w:numId w:val="1099"/>
        </w:numPr>
      </w:pPr>
      <w:r>
        <w:t xml:space="preserve">Self-Assessment Explanation/ Justification:</w:t>
      </w:r>
    </w:p>
    <w:p>
      <w:pPr>
        <w:pStyle w:val="Compact"/>
        <w:numPr>
          <w:ilvl w:val="0"/>
          <w:numId w:val="1099"/>
        </w:numPr>
      </w:pPr>
      <w:r>
        <w:t xml:space="preserve">Recommended Requirement Modification:</w:t>
      </w:r>
    </w:p>
    <w:p>
      <w:r>
        <w:pict>
          <v:rect style="width:0;height:1.5pt" o:hralign="center" o:hrstd="t" o:hr="t"/>
        </w:pict>
      </w:r>
    </w:p>
    <w:bookmarkEnd w:id="250"/>
    <w:bookmarkEnd w:id="251"/>
    <w:bookmarkStart w:id="255"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252" w:name="threshold-requirements-52"/>
    <w:p>
      <w:pPr>
        <w:pStyle w:val="berschrift5"/>
      </w:pPr>
      <w:r>
        <w:t xml:space="preserve">Threshold requirements:</w:t>
      </w:r>
    </w:p>
    <w:p>
      <w:pPr>
        <w:pStyle w:val="Compact"/>
        <w:numPr>
          <w:ilvl w:val="0"/>
          <w:numId w:val="1100"/>
        </w:numPr>
      </w:pPr>
      <w:r>
        <w:t xml:space="preserve">During ortho-rectification, the data provider shall use the same DEM that was used for the radiometric terrain flattening to ensure consistency of the data stack.</w:t>
      </w:r>
    </w:p>
    <w:p>
      <w:pPr>
        <w:pStyle w:val="Compact"/>
        <w:numPr>
          <w:ilvl w:val="0"/>
          <w:numId w:val="1100"/>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100"/>
        </w:numPr>
      </w:pPr>
      <w:r>
        <w:t xml:space="preserve">Provide reference to Earth Gravitational Model (EGM) if used for geometric correction. For mosaic or composite products, specify the EGM used for each input data source, if different.</w:t>
      </w:r>
    </w:p>
    <w:bookmarkEnd w:id="252"/>
    <w:bookmarkStart w:id="253" w:name="goal-requirements-52"/>
    <w:p>
      <w:pPr>
        <w:pStyle w:val="berschrift5"/>
      </w:pPr>
      <w:r>
        <w:t xml:space="preserve">Goal requirements:</w:t>
      </w:r>
    </w:p>
    <w:p>
      <w:pPr>
        <w:pStyle w:val="Compact"/>
        <w:numPr>
          <w:ilvl w:val="0"/>
          <w:numId w:val="1101"/>
        </w:numPr>
      </w:pPr>
      <w:r>
        <w:t xml:space="preserve">A DEM with comparable or better resolution to the resolution of the output CEOS-ARD product shall be used if available. Else, the upsampled DEM is identified.</w:t>
      </w:r>
    </w:p>
    <w:p>
      <w:pPr>
        <w:pStyle w:val="Compact"/>
        <w:numPr>
          <w:ilvl w:val="0"/>
          <w:numId w:val="1101"/>
        </w:numPr>
      </w:pPr>
      <w:r>
        <w:t xml:space="preserve">Resampling method used for preparation of the DEM.</w:t>
      </w:r>
    </w:p>
    <w:p>
      <w:pPr>
        <w:pStyle w:val="Compact"/>
        <w:numPr>
          <w:ilvl w:val="0"/>
          <w:numId w:val="1101"/>
        </w:numPr>
      </w:pPr>
      <w:r>
        <w:t xml:space="preserve">Method used for resampling the EGM.</w:t>
      </w:r>
    </w:p>
    <w:bookmarkEnd w:id="253"/>
    <w:bookmarkStart w:id="254" w:name="assessment-52"/>
    <w:p>
      <w:pPr>
        <w:pStyle w:val="berschrift5"/>
      </w:pPr>
      <w:r>
        <w:t xml:space="preserve">Assessment:</w:t>
      </w:r>
    </w:p>
    <w:p>
      <w:pPr>
        <w:pStyle w:val="Compact"/>
        <w:numPr>
          <w:ilvl w:val="0"/>
          <w:numId w:val="1102"/>
        </w:numPr>
      </w:pPr>
      <w:r>
        <w:t xml:space="preserve">Threshold Self-Assessment:</w:t>
      </w:r>
    </w:p>
    <w:p>
      <w:pPr>
        <w:pStyle w:val="Compact"/>
        <w:numPr>
          <w:ilvl w:val="0"/>
          <w:numId w:val="1102"/>
        </w:numPr>
      </w:pPr>
      <w:r>
        <w:t xml:space="preserve">Goal Self-Assessment:</w:t>
      </w:r>
    </w:p>
    <w:p>
      <w:pPr>
        <w:pStyle w:val="Compact"/>
        <w:numPr>
          <w:ilvl w:val="0"/>
          <w:numId w:val="1102"/>
        </w:numPr>
      </w:pPr>
      <w:r>
        <w:t xml:space="preserve">Self-Assessment Explanation/ Justification:</w:t>
      </w:r>
    </w:p>
    <w:p>
      <w:pPr>
        <w:pStyle w:val="Compact"/>
        <w:numPr>
          <w:ilvl w:val="0"/>
          <w:numId w:val="1102"/>
        </w:numPr>
      </w:pPr>
      <w:r>
        <w:t xml:space="preserve">Recommended Requirement Modification:</w:t>
      </w:r>
    </w:p>
    <w:p>
      <w:r>
        <w:pict>
          <v:rect style="width:0;height:1.5pt" o:hralign="center" o:hrstd="t" o:hr="t"/>
        </w:pict>
      </w:r>
    </w:p>
    <w:bookmarkEnd w:id="254"/>
    <w:bookmarkEnd w:id="255"/>
    <w:bookmarkStart w:id="259"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56" w:name="threshold-requirements-53"/>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103"/>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103"/>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103"/>
        </w:numPr>
      </w:pPr>
      <w:r>
        <w:t xml:space="preserve">For new SAR missions, as long as calibration/validation reports are not available, values can be set to NaN and provide a DOI or URL link to pre-launch mission specification document.</w:t>
      </w:r>
    </w:p>
    <w:bookmarkEnd w:id="256"/>
    <w:bookmarkStart w:id="257" w:name="goal-requirements-53"/>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57"/>
    <w:bookmarkStart w:id="258" w:name="assessment-53"/>
    <w:p>
      <w:pPr>
        <w:pStyle w:val="berschrift5"/>
      </w:pPr>
      <w:r>
        <w:t xml:space="preserve">Assessment:</w:t>
      </w:r>
    </w:p>
    <w:p>
      <w:pPr>
        <w:pStyle w:val="Compact"/>
        <w:numPr>
          <w:ilvl w:val="0"/>
          <w:numId w:val="1104"/>
        </w:numPr>
      </w:pPr>
      <w:r>
        <w:t xml:space="preserve">Threshold Self-Assessment:</w:t>
      </w:r>
    </w:p>
    <w:p>
      <w:pPr>
        <w:pStyle w:val="Compact"/>
        <w:numPr>
          <w:ilvl w:val="0"/>
          <w:numId w:val="1104"/>
        </w:numPr>
      </w:pPr>
      <w:r>
        <w:t xml:space="preserve">Goal Self-Assessment:</w:t>
      </w:r>
    </w:p>
    <w:p>
      <w:pPr>
        <w:pStyle w:val="Compact"/>
        <w:numPr>
          <w:ilvl w:val="0"/>
          <w:numId w:val="1104"/>
        </w:numPr>
      </w:pPr>
      <w:r>
        <w:t xml:space="preserve">Self-Assessment Explanation/ Justification:</w:t>
      </w:r>
    </w:p>
    <w:p>
      <w:pPr>
        <w:pStyle w:val="Compact"/>
        <w:numPr>
          <w:ilvl w:val="0"/>
          <w:numId w:val="1104"/>
        </w:numPr>
      </w:pPr>
      <w:r>
        <w:t xml:space="preserve">Recommended Requirement Modification:</w:t>
      </w:r>
    </w:p>
    <w:p>
      <w:r>
        <w:pict>
          <v:rect style="width:0;height:1.5pt" o:hralign="center" o:hrstd="t" o:hr="t"/>
        </w:pict>
      </w:r>
    </w:p>
    <w:bookmarkEnd w:id="258"/>
    <w:bookmarkEnd w:id="259"/>
    <w:bookmarkStart w:id="263"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60" w:name="threshold-requirements-54"/>
    <w:p>
      <w:pPr>
        <w:pStyle w:val="berschrift5"/>
      </w:pPr>
      <w:r>
        <w:t xml:space="preserve">Threshold requirements:</w:t>
      </w:r>
    </w:p>
    <w:p>
      <w:pPr>
        <w:pStyle w:val="FirstParagraph"/>
      </w:pPr>
      <w:r>
        <w:t xml:space="preserve">Not required.</w:t>
      </w:r>
      <w:r>
        <w:t xml:space="preserve"> </w:t>
      </w:r>
    </w:p>
    <w:bookmarkEnd w:id="260"/>
    <w:bookmarkStart w:id="261" w:name="goal-requirements-54"/>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261"/>
    <w:bookmarkStart w:id="262" w:name="assessment-54"/>
    <w:p>
      <w:pPr>
        <w:pStyle w:val="berschrift5"/>
      </w:pPr>
      <w:r>
        <w:t xml:space="preserve">Assessment:</w:t>
      </w:r>
    </w:p>
    <w:p>
      <w:pPr>
        <w:pStyle w:val="Compact"/>
        <w:numPr>
          <w:ilvl w:val="0"/>
          <w:numId w:val="1105"/>
        </w:numPr>
      </w:pPr>
      <w:r>
        <w:t xml:space="preserve">Threshold Self-Assessment:</w:t>
      </w:r>
    </w:p>
    <w:p>
      <w:pPr>
        <w:pStyle w:val="Compact"/>
        <w:numPr>
          <w:ilvl w:val="0"/>
          <w:numId w:val="1105"/>
        </w:numPr>
      </w:pPr>
      <w:r>
        <w:t xml:space="preserve">Goal Self-Assessment:</w:t>
      </w:r>
    </w:p>
    <w:p>
      <w:pPr>
        <w:pStyle w:val="Compact"/>
        <w:numPr>
          <w:ilvl w:val="0"/>
          <w:numId w:val="1105"/>
        </w:numPr>
      </w:pPr>
      <w:r>
        <w:t xml:space="preserve">Self-Assessment Explanation/ Justification:</w:t>
      </w:r>
    </w:p>
    <w:p>
      <w:pPr>
        <w:pStyle w:val="Compact"/>
        <w:numPr>
          <w:ilvl w:val="0"/>
          <w:numId w:val="1105"/>
        </w:numPr>
      </w:pPr>
      <w:r>
        <w:t xml:space="preserve">Recommended Requirement Modification:</w:t>
      </w:r>
    </w:p>
    <w:p>
      <w:r>
        <w:pict>
          <v:rect style="width:0;height:1.5pt" o:hralign="center" o:hrstd="t" o:hr="t"/>
        </w:pict>
      </w:r>
    </w:p>
    <w:bookmarkEnd w:id="262"/>
    <w:bookmarkEnd w:id="263"/>
    <w:bookmarkStart w:id="267"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64" w:name="threshold-requirements-55"/>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106"/>
        </w:numPr>
      </w:pPr>
      <w:r>
        <w:t xml:space="preserve">If a product hierarchy of resolutions exists (or is planned), the multiple resolutions should nest within each other (e.g., 12.5m, 25m, 50m, 100m, etc.), and not be disjoint.</w:t>
      </w:r>
    </w:p>
    <w:bookmarkEnd w:id="264"/>
    <w:bookmarkStart w:id="265" w:name="goal-requirements-55"/>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65"/>
    <w:bookmarkStart w:id="266" w:name="assessment-55"/>
    <w:p>
      <w:pPr>
        <w:pStyle w:val="berschrift5"/>
      </w:pPr>
      <w:r>
        <w:t xml:space="preserve">Assessment:</w:t>
      </w:r>
    </w:p>
    <w:p>
      <w:pPr>
        <w:pStyle w:val="Compact"/>
        <w:numPr>
          <w:ilvl w:val="0"/>
          <w:numId w:val="1107"/>
        </w:numPr>
      </w:pPr>
      <w:r>
        <w:t xml:space="preserve">Threshold Self-Assessment:</w:t>
      </w:r>
    </w:p>
    <w:p>
      <w:pPr>
        <w:pStyle w:val="Compact"/>
        <w:numPr>
          <w:ilvl w:val="0"/>
          <w:numId w:val="1107"/>
        </w:numPr>
      </w:pPr>
      <w:r>
        <w:t xml:space="preserve">Goal Self-Assessment:</w:t>
      </w:r>
    </w:p>
    <w:p>
      <w:pPr>
        <w:pStyle w:val="Compact"/>
        <w:numPr>
          <w:ilvl w:val="0"/>
          <w:numId w:val="1107"/>
        </w:numPr>
      </w:pPr>
      <w:r>
        <w:t xml:space="preserve">Self-Assessment Explanation/ Justification:</w:t>
      </w:r>
    </w:p>
    <w:p>
      <w:pPr>
        <w:pStyle w:val="Compact"/>
        <w:numPr>
          <w:ilvl w:val="0"/>
          <w:numId w:val="1107"/>
        </w:numPr>
      </w:pPr>
      <w:r>
        <w:t xml:space="preserve">Recommended Requirement Modification:</w:t>
      </w:r>
    </w:p>
    <w:p>
      <w:r>
        <w:br w:type="page"/>
      </w:r>
    </w:p>
    <w:bookmarkEnd w:id="266"/>
    <w:bookmarkEnd w:id="267"/>
    <w:bookmarkEnd w:id="268"/>
    <w:bookmarkEnd w:id="269"/>
    <w:bookmarkStart w:id="276" w:name="summary-self-assessment-table"/>
    <w:p>
      <w:pPr>
        <w:pStyle w:val="berschrift2"/>
      </w:pPr>
      <w:r>
        <w:t xml:space="preserve">Summary Self-Assessment Table</w:t>
      </w:r>
    </w:p>
    <w:bookmarkStart w:id="270"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270"/>
    <w:bookmarkStart w:id="271"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src-orbit-gslc</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71"/>
    <w:bookmarkStart w:id="272"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prd-rulvec</w:t>
            </w:r>
          </w:p>
        </w:tc>
        <w:tc>
          <w:tcPr/>
          <w:p>
            <w:pPr>
              <w:pStyle w:val="Compact"/>
            </w:pPr>
            <w:r>
              <w:t xml:space="preserve">Radar Unit Look Vector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prd-slarass</w:t>
            </w:r>
          </w:p>
        </w:tc>
        <w:tc>
          <w:tcPr/>
          <w:p>
            <w:pPr>
              <w:pStyle w:val="Compact"/>
            </w:pPr>
            <w:r>
              <w:t xml:space="preserve">Slant Range Sensor to Surface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prd-reorbit-gslc</w:t>
            </w:r>
          </w:p>
        </w:tc>
        <w:tc>
          <w:tcPr/>
          <w:p>
            <w:pPr>
              <w:pStyle w:val="Compact"/>
            </w:pPr>
            <w:r>
              <w:t xml:space="preserve">Reference Orbit</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prd-catpha</w:t>
            </w:r>
          </w:p>
        </w:tc>
        <w:tc>
          <w:tcPr/>
          <w:p>
            <w:pPr>
              <w:pStyle w:val="Compact"/>
            </w:pPr>
            <w:r>
              <w:t xml:space="preserve">Atmospheric Phase Correction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prd-ionpha</w:t>
            </w:r>
          </w:p>
        </w:tc>
        <w:tc>
          <w:tcPr/>
          <w:p>
            <w:pPr>
              <w:pStyle w:val="Compact"/>
            </w:pPr>
            <w:r>
              <w:t xml:space="preserve">Ionospheric Phase Correction</w:t>
            </w:r>
          </w:p>
        </w:tc>
        <w:tc>
          <w:tcPr/>
          <w:p>
            <w:pPr>
              <w:pStyle w:val="Compact"/>
            </w:pPr>
          </w:p>
        </w:tc>
        <w:tc>
          <w:tcPr/>
          <w:p>
            <w:pPr>
              <w:pStyle w:val="Compact"/>
              <w:jc w:val="center"/>
            </w:pPr>
            <w:r>
              <w:rPr>
                <w:i/>
                <w:iCs/>
              </w:rPr>
              <w:t xml:space="preserve">as threshold</w:t>
            </w:r>
          </w:p>
        </w:tc>
      </w:tr>
    </w:tbl>
    <w:bookmarkEnd w:id="272"/>
    <w:bookmarkStart w:id="273" w:name="per-pixel-metadata"/>
    <w:p>
      <w:pPr>
        <w:pStyle w:val="berschrift3"/>
      </w:pPr>
      <w:r>
        <w:t xml:space="preserve">Per-Pixel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pxl-gasiri</w:t>
            </w:r>
          </w:p>
        </w:tc>
        <w:tc>
          <w:tcPr/>
          <w:p>
            <w:pPr>
              <w:pStyle w:val="Compact"/>
            </w:pPr>
            <w:r>
              <w:t xml:space="preserve">Gamma-to-Sigma Ratio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pxl-pacqidm</w:t>
            </w:r>
          </w:p>
        </w:tc>
        <w:tc>
          <w:tcPr/>
          <w:p>
            <w:pPr>
              <w:pStyle w:val="Compact"/>
            </w:pPr>
            <w:r>
              <w:t xml:space="preserve">Acquisition ID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pxl-radulov-gslc</w:t>
            </w:r>
          </w:p>
        </w:tc>
        <w:tc>
          <w:tcPr/>
          <w:p>
            <w:pPr>
              <w:pStyle w:val="Compact"/>
            </w:pPr>
            <w:r>
              <w:t xml:space="preserve">Radar Unit Look Vector Grid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pxl-slarassi-gslc</w:t>
            </w:r>
          </w:p>
        </w:tc>
        <w:tc>
          <w:tcPr/>
          <w:p>
            <w:pPr>
              <w:pStyle w:val="Compact"/>
            </w:pPr>
            <w:r>
              <w:t xml:space="preserve">Slant Range Sensor to Surface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pxl-pinphun</w:t>
            </w:r>
          </w:p>
        </w:tc>
        <w:tc>
          <w:tcPr/>
          <w:p>
            <w:pPr>
              <w:pStyle w:val="Compact"/>
            </w:pPr>
            <w:r>
              <w:t xml:space="preserve">InSAR Phase Uncertainty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pxl-atphaci</w:t>
            </w:r>
          </w:p>
        </w:tc>
        <w:tc>
          <w:tcPr/>
          <w:p>
            <w:pPr>
              <w:pStyle w:val="Compact"/>
            </w:pPr>
            <w:r>
              <w:t xml:space="preserve">Atmospheric Phase Correction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pxl-piopha</w:t>
            </w:r>
          </w:p>
        </w:tc>
        <w:tc>
          <w:tcPr/>
          <w:p>
            <w:pPr>
              <w:pStyle w:val="Compact"/>
            </w:pPr>
            <w:r>
              <w:t xml:space="preserve">Ionospheric Phase Correction Image</w:t>
            </w:r>
          </w:p>
        </w:tc>
        <w:tc>
          <w:tcPr/>
          <w:p>
            <w:pPr>
              <w:pStyle w:val="Compact"/>
              <w:jc w:val="center"/>
            </w:pPr>
            <w:r>
              <w:rPr>
                <w:i/>
                <w:iCs/>
              </w:rPr>
              <w:t xml:space="preserve">not required</w:t>
            </w:r>
          </w:p>
        </w:tc>
        <w:tc>
          <w:tcPr/>
          <w:p>
            <w:pPr>
              <w:pStyle w:val="Compact"/>
            </w:pPr>
          </w:p>
        </w:tc>
      </w:tr>
    </w:tbl>
    <w:bookmarkEnd w:id="273"/>
    <w:bookmarkStart w:id="274"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rcm-backsca-gslc</w:t>
            </w:r>
          </w:p>
        </w:tc>
        <w:tc>
          <w:tcPr/>
          <w:p>
            <w:pPr>
              <w:pStyle w:val="Compact"/>
            </w:pPr>
            <w:r>
              <w:t xml:space="preserve">Backscatter Measurements (GSLC)</w:t>
            </w:r>
          </w:p>
        </w:tc>
        <w:tc>
          <w:tcPr/>
          <w:p>
            <w:pPr>
              <w:pStyle w:val="Compact"/>
            </w:pPr>
          </w:p>
        </w:tc>
        <w:tc>
          <w:tcPr/>
          <w:p>
            <w:pPr>
              <w:pStyle w:val="Compact"/>
            </w:pP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rcm-radtalg-min</w:t>
            </w:r>
          </w:p>
        </w:tc>
        <w:tc>
          <w:tcPr/>
          <w:p>
            <w:pPr>
              <w:pStyle w:val="Compact"/>
            </w:pPr>
            <w:r>
              <w:t xml:space="preserve">Radiometric Terrain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bl>
    <w:bookmarkEnd w:id="274"/>
    <w:bookmarkStart w:id="275"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75"/>
    <w:bookmarkEnd w:id="276"/>
    <w:bookmarkStart w:id="282"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77"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77"/>
    <w:bookmarkStart w:id="279"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108"/>
        </w:numPr>
      </w:pPr>
      <w:r>
        <w:t xml:space="preserve">that product has been assessed as meeting CEOS-ARD requirements by the agency responsible for production and distribution of the product, and</w:t>
      </w:r>
    </w:p>
    <w:p>
      <w:pPr>
        <w:pStyle w:val="Compact"/>
        <w:numPr>
          <w:ilvl w:val="0"/>
          <w:numId w:val="1108"/>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78">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79"/>
    <w:bookmarkStart w:id="280"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280"/>
    <w:bookmarkStart w:id="281"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281"/>
    <w:bookmarkEnd w:id="282"/>
    <w:bookmarkStart w:id="300" w:name="references"/>
    <w:p>
      <w:pPr>
        <w:pStyle w:val="berschrift2"/>
      </w:pPr>
      <w:r>
        <w:t xml:space="preserve">References</w:t>
      </w:r>
    </w:p>
    <w:bookmarkStart w:id="299" w:name="refs"/>
    <w:bookmarkStart w:id="284"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283">
        <w:r>
          <w:rPr>
            <w:rStyle w:val="Hyperlink"/>
          </w:rPr>
          <w:t xml:space="preserve">https://doi.org/10.5281/zenodo.17801666</w:t>
        </w:r>
      </w:hyperlink>
      <w:r>
        <w:t xml:space="preserve">.</w:t>
      </w:r>
    </w:p>
    <w:bookmarkEnd w:id="284"/>
    <w:bookmarkStart w:id="285"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85"/>
    <w:bookmarkStart w:id="286"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286"/>
    <w:bookmarkStart w:id="288"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87">
        <w:r>
          <w:rPr>
            <w:rStyle w:val="Hyperlink"/>
          </w:rPr>
          <w:t xml:space="preserve">https://doi.org/10.1109/TGRS.2008.2002881</w:t>
        </w:r>
      </w:hyperlink>
      <w:r>
        <w:t xml:space="preserve">.</w:t>
      </w:r>
    </w:p>
    <w:bookmarkEnd w:id="288"/>
    <w:bookmarkStart w:id="290"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89">
        <w:r>
          <w:rPr>
            <w:rStyle w:val="Hyperlink"/>
          </w:rPr>
          <w:t xml:space="preserve">https://doi.org/10.1109/TGRS.2022.3147472</w:t>
        </w:r>
      </w:hyperlink>
      <w:r>
        <w:t xml:space="preserve">.</w:t>
      </w:r>
    </w:p>
    <w:bookmarkEnd w:id="290"/>
    <w:bookmarkStart w:id="292"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91">
        <w:r>
          <w:rPr>
            <w:rStyle w:val="Hyperlink"/>
          </w:rPr>
          <w:t xml:space="preserve">https://doi.org/10.1109/TGRS.2011.2120616</w:t>
        </w:r>
      </w:hyperlink>
      <w:r>
        <w:t xml:space="preserve">.</w:t>
      </w:r>
    </w:p>
    <w:bookmarkEnd w:id="292"/>
    <w:bookmarkStart w:id="294"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93">
        <w:r>
          <w:rPr>
            <w:rStyle w:val="Hyperlink"/>
          </w:rPr>
          <w:t xml:space="preserve">https://doi.org/10.1109/LGRS.2017.2753580</w:t>
        </w:r>
      </w:hyperlink>
      <w:r>
        <w:t xml:space="preserve">.</w:t>
      </w:r>
    </w:p>
    <w:bookmarkEnd w:id="294"/>
    <w:bookmarkStart w:id="296"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95">
        <w:r>
          <w:rPr>
            <w:rStyle w:val="Hyperlink"/>
          </w:rPr>
          <w:t xml:space="preserve">https://doi.org/10.1109/TGRS.2010.2051333</w:t>
        </w:r>
      </w:hyperlink>
      <w:r>
        <w:t xml:space="preserve">.</w:t>
      </w:r>
    </w:p>
    <w:bookmarkEnd w:id="296"/>
    <w:bookmarkStart w:id="298" w:name="ref-zheng2017"/>
    <w:p>
      <w:pPr>
        <w:pStyle w:val="Literaturverzeichnis"/>
      </w:pPr>
      <w:r>
        <w:t xml:space="preserve">Zheng, Yujie, and Howard Zebker. 2017.</w:t>
      </w:r>
      <w:r>
        <w:t xml:space="preserve"> </w:t>
      </w:r>
      <w:r>
        <w:t xml:space="preserve">“Phase Correction of Single-Look Complex Radar Images for User-Friendly Efficient Interferogram Formation.”</w:t>
      </w:r>
      <w:r>
        <w:t xml:space="preserve"> </w:t>
      </w:r>
      <w:r>
        <w:rPr>
          <w:i/>
          <w:iCs/>
        </w:rPr>
        <w:t xml:space="preserve">IEEE Journal of Selected Topics in Applied Earth Observations and Remote Sensing</w:t>
      </w:r>
      <w:r>
        <w:t xml:space="preserve"> </w:t>
      </w:r>
      <w:r>
        <w:t xml:space="preserve">PP (May): 1–8.</w:t>
      </w:r>
      <w:r>
        <w:t xml:space="preserve"> </w:t>
      </w:r>
      <w:hyperlink r:id="rId297">
        <w:r>
          <w:rPr>
            <w:rStyle w:val="Hyperlink"/>
          </w:rPr>
          <w:t xml:space="preserve">https://doi.org/10.1109/JSTARS.2017.2697861</w:t>
        </w:r>
      </w:hyperlink>
      <w:r>
        <w:t xml:space="preserve">.</w:t>
      </w:r>
    </w:p>
    <w:bookmarkEnd w:id="298"/>
    <w:bookmarkEnd w:id="299"/>
    <w:p>
      <w:r>
        <w:br w:type="page"/>
      </w:r>
    </w:p>
    <w:bookmarkEnd w:id="300"/>
    <w:bookmarkStart w:id="347" w:name="annexes"/>
    <w:p>
      <w:pPr>
        <w:pStyle w:val="berschrift2"/>
      </w:pPr>
      <w:r>
        <w:t xml:space="preserve">Annexes</w:t>
      </w:r>
    </w:p>
    <w:bookmarkStart w:id="302"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109"/>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109"/>
        </w:numPr>
      </w:pPr>
      <w:r>
        <w:t xml:space="preserve">Apply instrument calibration to produce Beta-Nought values with high fidelity.</w:t>
      </w:r>
    </w:p>
    <w:p>
      <w:pPr>
        <w:pStyle w:val="Compact"/>
        <w:numPr>
          <w:ilvl w:val="0"/>
          <w:numId w:val="1109"/>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109"/>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109"/>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109"/>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109"/>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109"/>
        </w:numPr>
      </w:pPr>
      <w:r>
        <w:t xml:space="preserve">Generate CEOS format metadata to accompany product layers.</w:t>
      </w:r>
    </w:p>
    <w:p>
      <w:pPr>
        <w:pStyle w:val="Compact"/>
        <w:numPr>
          <w:ilvl w:val="0"/>
          <w:numId w:val="1109"/>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301"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301"/>
    <w:bookmarkEnd w:id="302"/>
    <w:bookmarkStart w:id="314" w:name="sec:annex-sar-topographic-phase-removal"/>
    <w:p>
      <w:pPr>
        <w:pStyle w:val="berschrift3"/>
      </w:pPr>
      <w:r>
        <w:t xml:space="preserve">Topographic phase removal</w:t>
      </w:r>
    </w:p>
    <w:p>
      <w:pPr>
        <w:pStyle w:val="FirstParagraph"/>
      </w:pPr>
      <w:r>
        <w:t xml:space="preserve">InSAR analysis capabilities from CEOS-ARD SAR products are enabled with GSLC products, which is also the case when the Flattened Phase per-pixel data are included in the NRB or POL products. This is made possible since the simulated topographic phase relative to a given reference orbit has been subtracted.</w:t>
      </w:r>
    </w:p>
    <w:p>
      <w:pPr>
        <w:pStyle w:val="Textkrper"/>
      </w:pPr>
      <w:r>
        <w:t xml:space="preserve">From classical approach with SLC data, interferometric phase</w:t>
      </w:r>
      <w:r>
        <w:t xml:space="preserve"> </w:t>
      </w:r>
      <m:oMath>
        <m:r>
          <m:rPr>
            <m:sty m:val="p"/>
          </m:rPr>
          <m:t>Δ</m:t>
        </m:r>
        <m:sSub>
          <m:e>
            <m:r>
              <m:t>φ</m:t>
            </m:r>
          </m:e>
          <m:sub>
            <m:r>
              <m:t>1</m:t>
            </m:r>
            <m:r>
              <m:rPr>
                <m:sty m:val="p"/>
              </m:rPr>
              <m:t>−</m:t>
            </m:r>
            <m:r>
              <m:t>2</m:t>
            </m:r>
          </m:sub>
        </m:sSub>
      </m:oMath>
      <w:r>
        <w:t xml:space="preserve"> </w:t>
      </w:r>
      <w:r>
        <w:t xml:space="preserve">between two SAR acquisitions is composed of a topographic phase</w:t>
      </w:r>
      <w:r>
        <w:t xml:space="preserve"> </w:t>
      </w:r>
      <m:oMath>
        <m:r>
          <m:rPr>
            <m:sty m:val="p"/>
          </m:rPr>
          <m:t>Δ</m:t>
        </m:r>
        <m:sSub>
          <m:e>
            <m:r>
              <m:t>φ</m:t>
            </m:r>
          </m:e>
          <m:sub>
            <m:r>
              <m:rPr>
                <m:nor/>
                <m:sty m:val="p"/>
              </m:rPr>
              <m:t>Topo</m:t>
            </m:r>
            <m:r>
              <m:rPr>
                <m:sty m:val="p"/>
              </m:rPr>
              <m:t>_</m:t>
            </m:r>
            <m:r>
              <m:t>1</m:t>
            </m:r>
            <m:r>
              <m:rPr>
                <m:sty m:val="p"/>
              </m:rPr>
              <m:t>−</m:t>
            </m:r>
            <m:r>
              <m:t>2</m:t>
            </m:r>
          </m:sub>
        </m:sSub>
      </m:oMath>
      <w:r>
        <w:t xml:space="preserve">, a surface displacement phase</w:t>
      </w:r>
      <w:r>
        <w:t xml:space="preserve"> </w:t>
      </w:r>
      <m:oMath>
        <m:r>
          <m:rPr>
            <m:sty m:val="p"/>
          </m:rPr>
          <m:t>Δ</m:t>
        </m:r>
        <m:sSub>
          <m:e>
            <m:r>
              <m:t>φ</m:t>
            </m:r>
          </m:e>
          <m:sub>
            <m:r>
              <m:rPr>
                <m:nor/>
                <m:sty m:val="p"/>
              </m:rPr>
              <m:t>Disp</m:t>
            </m:r>
            <m:r>
              <m:rPr>
                <m:sty m:val="p"/>
              </m:rPr>
              <m:t>_</m:t>
            </m:r>
            <m:r>
              <m:t>1</m:t>
            </m:r>
            <m:r>
              <m:rPr>
                <m:sty m:val="p"/>
              </m:rPr>
              <m:t>−</m:t>
            </m:r>
            <m:r>
              <m:t>2</m:t>
            </m:r>
          </m:sub>
        </m:sSub>
      </m:oMath>
      <w:r>
        <w:t xml:space="preserve"> </w:t>
      </w:r>
      <w:r>
        <w:t xml:space="preserve">and other noise terms</w:t>
      </w:r>
      <w:r>
        <w:t xml:space="preserve"> </w:t>
      </w:r>
      <m:oMath>
        <m:r>
          <m:rPr>
            <m:sty m:val="p"/>
          </m:rPr>
          <m:t>Δ</m:t>
        </m:r>
        <m:sSub>
          <m:e>
            <m:r>
              <m:t>φ</m:t>
            </m:r>
          </m:e>
          <m:sub>
            <m:r>
              <m:rPr>
                <m:nor/>
                <m:sty m:val="p"/>
              </m:rPr>
              <m:t>Noise</m:t>
            </m:r>
            <m:r>
              <m:rPr>
                <m:sty m:val="p"/>
              </m:rPr>
              <m:t>_</m:t>
            </m:r>
            <m:r>
              <m:t>1</m:t>
            </m:r>
            <m:r>
              <m:rPr>
                <m:sty m:val="p"/>
              </m:rPr>
              <m:t>−</m:t>
            </m:r>
            <m:r>
              <m:t>2</m:t>
            </m:r>
          </m:sub>
        </m:sSub>
      </m:oMath>
      <w:r>
        <w:t xml:space="preserve"> </w:t>
      </w:r>
      <w:r>
        <w:t xml:space="preserve">(Eq. </w:t>
      </w:r>
      <w:hyperlink w:anchor="eq:sar-topographic-phase-removal-eq1">
        <w:r>
          <w:rPr>
            <w:rStyle w:val="Hyperlink"/>
          </w:rPr>
          <w:t xml:space="preserve">1</w:t>
        </w:r>
      </w:hyperlink>
      <w:r>
        <w:t xml:space="preserve">). The topographic phase consists to the difference in geometrical path length from each of the two antenna positions to the point on the SAR image (</w:t>
      </w:r>
      <m:oMath>
        <m:sSub>
          <m:e>
            <m:r>
              <m:t>φ</m:t>
            </m:r>
          </m:e>
          <m:sub>
            <m:r>
              <m:rPr>
                <m:nor/>
                <m:sty m:val="p"/>
              </m:rPr>
              <m:t>DEM</m:t>
            </m:r>
            <m:r>
              <m:rPr>
                <m:sty m:val="p"/>
              </m:rPr>
              <m:t>_</m:t>
            </m:r>
            <m:r>
              <m:rPr>
                <m:nor/>
                <m:sty m:val="p"/>
              </m:rPr>
              <m:t>SLC</m:t>
            </m:r>
          </m:sub>
        </m:sSub>
      </m:oMath>
      <w:r>
        <w:t xml:space="preserve">) and is a function of their orbital baseline distance (Eq. </w:t>
      </w:r>
      <w:hyperlink w:anchor="eq:sar-topographic-phase-removal-eq2">
        <w:r>
          <w:rPr>
            <w:rStyle w:val="Hyperlink"/>
          </w:rPr>
          <w:t xml:space="preserve">2</w:t>
        </w:r>
      </w:hyperlink>
      <w:r>
        <w:t xml:space="preserve">). The surface displacement phase is related to the displacement of the surface that occurred in between the two acquisitions. The noise term is the function of the radar signal interaction with the atmosphere and the ionosphere during each acquisition and function of the system noise.</w:t>
      </w:r>
    </w:p>
    <w:p>
      <w:pPr>
        <w:pStyle w:val="Textkrper"/>
      </w:pPr>
      <w:bookmarkStart w:id="303" w:name="eq:sar-topographic-phase-removal-eq1"/>
      <m:oMathPara>
        <m:oMathParaPr>
          <m:jc m:val="center"/>
        </m:oMathParaPr>
        <m:oMath>
          <m:r>
            <m:rPr>
              <m:sty m:val="p"/>
            </m:rPr>
            <m:t>Δ</m:t>
          </m:r>
          <m:sSub>
            <m:e>
              <m:r>
                <m:t>φ</m:t>
              </m:r>
            </m:e>
            <m:sub>
              <m:r>
                <m:t>1</m:t>
              </m:r>
              <m:r>
                <m:rPr>
                  <m:sty m:val="p"/>
                </m:rPr>
                <m:t>−</m:t>
              </m:r>
              <m:r>
                <m:t>2</m:t>
              </m:r>
            </m:sub>
          </m:sSub>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t>  </m:t>
          </m:r>
          <m:r>
            <m:rPr>
              <m:sty m:val="p"/>
            </m:rPr>
            <m:t>(</m:t>
          </m:r>
          <m:r>
            <m:t>1</m:t>
          </m:r>
          <m:r>
            <m:rPr>
              <m:sty m:val="p"/>
            </m:rPr>
            <m:t>)</m:t>
          </m:r>
        </m:oMath>
      </m:oMathPara>
      <w:bookmarkEnd w:id="303"/>
    </w:p>
    <w:p>
      <w:pPr>
        <w:pStyle w:val="FirstParagraph"/>
      </w:pPr>
      <w:r>
        <w:t xml:space="preserve">Where</w:t>
      </w:r>
    </w:p>
    <w:p>
      <w:pPr>
        <w:pStyle w:val="Textkrper"/>
      </w:pPr>
      <w:bookmarkStart w:id="304" w:name="eq:sar-topographic-phase-removal-eq2"/>
      <m:oMathPara>
        <m:oMathParaPr>
          <m:jc m:val="center"/>
        </m:oMathParaPr>
        <m:oMath>
          <m:r>
            <m:rPr>
              <m:sty m:val="p"/>
            </m:rPr>
            <m:t>Δ</m:t>
          </m:r>
          <m:sSub>
            <m:e>
              <m:r>
                <m:t>φ</m:t>
              </m:r>
            </m:e>
            <m:sub>
              <m:r>
                <m:rPr>
                  <m:nor/>
                  <m:sty m:val="p"/>
                </m:rPr>
                <m:t>Topo</m:t>
              </m:r>
              <m:r>
                <m:rPr>
                  <m:sty m:val="p"/>
                </m:rPr>
                <m:t>_</m:t>
              </m:r>
              <m:r>
                <m:t>1</m:t>
              </m:r>
              <m:r>
                <m:rPr>
                  <m:sty m:val="p"/>
                </m:rPr>
                <m:t>−</m:t>
              </m:r>
              <m:r>
                <m:t>2</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2</m:t>
          </m:r>
          <m:r>
            <m:rPr>
              <m:sty m:val="p"/>
            </m:rPr>
            <m:t>)</m:t>
          </m:r>
        </m:oMath>
      </m:oMathPara>
      <w:bookmarkEnd w:id="304"/>
    </w:p>
    <w:p>
      <w:pPr>
        <w:pStyle w:val="FirstParagraph"/>
      </w:pPr>
      <w:r>
        <w:t xml:space="preserve">Since CEOS-ARD products are already geocoded, it is important to remove the wrapped simulated topographic phase</w:t>
      </w:r>
      <w:r>
        <w:t xml:space="preserve"> </w:t>
      </w:r>
      <m:oMath>
        <m:sSub>
          <m:e>
            <m:r>
              <m:t>φ</m:t>
            </m:r>
          </m:e>
          <m:sub>
            <m:r>
              <m:rPr>
                <m:nor/>
                <m:sty m:val="p"/>
              </m:rPr>
              <m:t>SimDEM</m:t>
            </m:r>
            <m:r>
              <m:rPr>
                <m:sty m:val="p"/>
              </m:rPr>
              <m:t>_</m:t>
            </m:r>
            <m:r>
              <m:rPr>
                <m:nor/>
                <m:sty m:val="p"/>
              </m:rPr>
              <m:t>SLC</m:t>
            </m:r>
          </m:sub>
        </m:sSub>
      </m:oMath>
      <w:r>
        <w:t xml:space="preserve"> </w:t>
      </w:r>
      <w:r>
        <w:t xml:space="preserve">from the data in slant range (Eq. </w:t>
      </w:r>
      <w:hyperlink w:anchor="eq:sar-topographic-phase-removal-eq3">
        <w:r>
          <w:rPr>
            <w:rStyle w:val="Hyperlink"/>
          </w:rPr>
          <w:t xml:space="preserve">3</w:t>
        </w:r>
      </w:hyperlink>
      <w:r>
        <w:t xml:space="preserve">) during their production, before the geocoding step. The key here is to simulate the topographic phase relatively to a constant reference orbit, as done in a regular InSAR processing. There are two different ways to simulate the topographic phase:</w:t>
      </w:r>
    </w:p>
    <w:p>
      <w:pPr>
        <w:pStyle w:val="Compact"/>
        <w:numPr>
          <w:ilvl w:val="0"/>
          <w:numId w:val="1110"/>
        </w:numPr>
      </w:pPr>
      <w:r>
        <w:t xml:space="preserve">The use of a virtual circular orbit above a nonrotating planet</w:t>
      </w:r>
      <w:r>
        <w:t xml:space="preserve"> </w:t>
      </w:r>
      <w:r>
        <w:t xml:space="preserve">(</w:t>
      </w:r>
      <w:hyperlink w:anchor="ref-zebker2010">
        <w:r>
          <w:rPr>
            <w:rStyle w:val="Hyperlink"/>
          </w:rPr>
          <w:t xml:space="preserve">Zebker et al. 2010</w:t>
        </w:r>
      </w:hyperlink>
      <w:r>
        <w:t xml:space="preserve">)</w:t>
      </w:r>
    </w:p>
    <w:p>
      <w:pPr>
        <w:pStyle w:val="Compact"/>
        <w:numPr>
          <w:ilvl w:val="0"/>
          <w:numId w:val="1110"/>
        </w:numPr>
      </w:pPr>
      <w:r>
        <w:t xml:space="preserve">The use of a specific orbit cycle or a simulated orbit of the SAR mission</w:t>
      </w:r>
    </w:p>
    <w:p>
      <w:pPr>
        <w:pStyle w:val="FirstParagraph"/>
      </w:pPr>
      <w:r>
        <w:t xml:space="preserve">In both cases, the InSAR topographic phase</w:t>
      </w:r>
      <w:r>
        <w:t xml:space="preserve"> </w:t>
      </w:r>
      <m:oMath>
        <m:r>
          <m:rPr>
            <m:sty m:val="p"/>
          </m:rPr>
          <m:t>Δ</m:t>
        </m:r>
        <m:sSub>
          <m:e>
            <m:r>
              <m:t>φ</m:t>
            </m:r>
          </m:e>
          <m:sub>
            <m:r>
              <m:rPr>
                <m:nor/>
                <m:sty m:val="p"/>
              </m:rPr>
              <m:t>Topo</m:t>
            </m:r>
            <m:r>
              <m:rPr>
                <m:sty m:val="p"/>
              </m:rPr>
              <m:t>_</m:t>
            </m:r>
            <m:r>
              <m:rPr>
                <m:nor/>
                <m:sty m:val="p"/>
              </m:rPr>
              <m:t>OrbRef</m:t>
            </m:r>
            <m:r>
              <m:rPr>
                <m:sty m:val="p"/>
              </m:rPr>
              <m:t>−</m:t>
            </m:r>
            <m:r>
              <m:t>2</m:t>
            </m:r>
          </m:sub>
        </m:sSub>
      </m:oMath>
      <w:r>
        <w:t xml:space="preserve"> </w:t>
      </w:r>
      <w:r>
        <w:t xml:space="preserve">is simulated against the position of a virtual sensor</w:t>
      </w:r>
      <w:r>
        <w:t xml:space="preserve"> </w:t>
      </w:r>
      <m:oMath>
        <m:r>
          <m:rPr>
            <m:sty m:val="p"/>
          </m:rPr>
          <m:t>Δ</m:t>
        </m:r>
        <m:sSub>
          <m:e>
            <m:r>
              <m:t>φ</m:t>
            </m:r>
          </m:e>
          <m:sub>
            <m:r>
              <m:rPr>
                <m:nor/>
                <m:sty m:val="p"/>
              </m:rPr>
              <m:t>Topo</m:t>
            </m:r>
            <m:r>
              <m:rPr>
                <m:sty m:val="p"/>
              </m:rPr>
              <m:t>_</m:t>
            </m:r>
            <m:r>
              <m:rPr>
                <m:nor/>
                <m:sty m:val="p"/>
              </m:rPr>
              <m:t>OrbRef</m:t>
            </m:r>
          </m:sub>
        </m:sSub>
      </m:oMath>
      <w:r>
        <w:t xml:space="preserve"> </w:t>
      </w:r>
      <w:r>
        <w:t xml:space="preserve">lying on a reference orbit, instead of being simulated relatively to an existing reference SAR acquisition (</w:t>
      </w:r>
      <m:oMath>
        <m:sSub>
          <m:e>
            <m:r>
              <m:t>φ</m:t>
            </m:r>
          </m:e>
          <m:sub>
            <m:r>
              <m:rPr>
                <m:nor/>
                <m:sty m:val="p"/>
              </m:rPr>
              <m:t>DEM</m:t>
            </m:r>
            <m:r>
              <m:rPr>
                <m:sty m:val="p"/>
              </m:rPr>
              <m:t>_</m:t>
            </m:r>
            <m:r>
              <m:rPr>
                <m:nor/>
                <m:sty m:val="p"/>
              </m:rPr>
              <m:t>SLC</m:t>
            </m:r>
            <m:r>
              <m:rPr>
                <m:sty m:val="p"/>
              </m:rPr>
              <m:t>_</m:t>
            </m:r>
            <m:r>
              <m:t>1</m:t>
            </m:r>
          </m:sub>
        </m:sSub>
      </m:oMath>
      <w:r>
        <w:t xml:space="preserve">). The use of a virtual circular orbit is a more robust approach since the reference orbit is defined at a fixed height above scene nadir and assuming the reference orbital height constant for all CEOS-ARD products. While with the second approach, the CEOS-ARD data producer must select a specific archived orbit cycle of the SAR mission or define a simulated one, from which the relative orbit, matching the one of the SAR acquisitions to be processed (to be converted to CEOS-ARD), is defined as the reference orbit. With this second approach, it is important to always use the same orbit cycle (or simulated orbit) for all the CEOS-ARD produced for a mission, in order to preserve the relevant compensated phase in between them. Providing absolute reference orbit number information in the metadata (see requirement</w:t>
      </w:r>
      <w:r>
        <w:t xml:space="preserve"> </w:t>
      </w:r>
      <w:r>
        <w:t xml:space="preserve">“Reference Orbit”</w:t>
      </w:r>
      <w:r>
        <w:t xml:space="preserve"> </w:t>
      </w:r>
      <w:r>
        <w:t xml:space="preserve">in the applicable PFS) allows users to validate the InSAR feasibility in between CEOS-ARD products.</w:t>
      </w:r>
    </w:p>
    <w:p>
      <w:pPr>
        <w:pStyle w:val="Textkrper"/>
      </w:pPr>
      <w:bookmarkStart w:id="305" w:name="eq:sar-topographic-phase-removal-eq3"/>
      <m:oMathPara>
        <m:oMathParaPr>
          <m:jc m:val="center"/>
        </m:oMathParaPr>
        <m:oMath>
          <m:sSub>
            <m:e>
              <m:r>
                <m:t>φ</m:t>
              </m:r>
            </m:e>
            <m:sub>
              <m:r>
                <m:rPr>
                  <m:nor/>
                  <m:sty m:val="p"/>
                </m:rPr>
                <m:t>Flattended</m:t>
              </m:r>
              <m:r>
                <m:rPr>
                  <m:sty m:val="p"/>
                </m:rPr>
                <m:t>_</m:t>
              </m:r>
              <m:r>
                <m:rPr>
                  <m:nor/>
                  <m:sty m:val="p"/>
                </m:rPr>
                <m:t>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t>  </m:t>
          </m:r>
          <m:r>
            <m:rPr>
              <m:sty m:val="p"/>
            </m:rPr>
            <m:t>(</m:t>
          </m:r>
          <m:r>
            <m:t>3</m:t>
          </m:r>
          <m:r>
            <m:rPr>
              <m:sty m:val="p"/>
            </m:rPr>
            <m:t>)</m:t>
          </m:r>
        </m:oMath>
      </m:oMathPara>
      <w:bookmarkEnd w:id="305"/>
    </w:p>
    <w:p>
      <w:pPr>
        <w:pStyle w:val="FirstParagraph"/>
      </w:pPr>
      <w:r>
        <w:t xml:space="preserve">This procedure is equivalent to bring the position of the sensor platform of all the SAR acquisitions at the same orbital position (i.e., zeros baseline distance in between), which results in a Flattened phase</w:t>
      </w:r>
      <w:r>
        <w:t xml:space="preserve"> </w:t>
      </w:r>
      <m:oMath>
        <m:sSub>
          <m:e>
            <m:r>
              <m:t>φ</m:t>
            </m:r>
          </m:e>
          <m:sub>
            <m:r>
              <m:rPr>
                <m:nor/>
                <m:sty m:val="p"/>
              </m:rPr>
              <m:t>Flattended</m:t>
            </m:r>
            <m:r>
              <m:rPr>
                <m:sty m:val="p"/>
              </m:rPr>
              <m:t>_</m:t>
            </m:r>
            <m:r>
              <m:rPr>
                <m:nor/>
                <m:sty m:val="p"/>
              </m:rPr>
              <m:t>SLC</m:t>
            </m:r>
          </m:sub>
        </m:sSub>
      </m:oMath>
      <w:r>
        <w:t xml:space="preserve">, independent of the local topography.</w:t>
      </w:r>
    </w:p>
    <w:p>
      <w:pPr>
        <w:pStyle w:val="Textkrper"/>
      </w:pPr>
      <w:r>
        <w:t xml:space="preserve">The phase subtraction could be performed by using a motion compensation approach</w:t>
      </w:r>
      <w:r>
        <w:t xml:space="preserve"> </w:t>
      </w:r>
      <w:r>
        <w:t xml:space="preserve">(</w:t>
      </w:r>
      <w:hyperlink w:anchor="ref-zebker2010">
        <w:r>
          <w:rPr>
            <w:rStyle w:val="Hyperlink"/>
          </w:rPr>
          <w:t xml:space="preserve">Zebker et al. 2010</w:t>
        </w:r>
      </w:hyperlink>
      <w:r>
        <w:t xml:space="preserve">)</w:t>
      </w:r>
      <w:r>
        <w:t xml:space="preserve"> </w:t>
      </w:r>
      <w:r>
        <w:t xml:space="preserve">or directly on the SLC data. Then the geometrical correction is performed on the Flattened SLC, which results in a GSLC product.</w:t>
      </w:r>
    </w:p>
    <w:p>
      <w:pPr>
        <w:pStyle w:val="Textkrper"/>
      </w:pPr>
      <w:r>
        <w:t xml:space="preserve">GSLC can also be saved as a NRB product by including the Flattened Phase per-pixel data as follows:</w:t>
      </w:r>
    </w:p>
    <w:p>
      <w:pPr>
        <w:pStyle w:val="Textkrper"/>
      </w:pPr>
      <m:oMathPara>
        <m:oMathParaPr>
          <m:jc m:val="center"/>
        </m:oMathParaPr>
        <m:oMath>
          <m:r>
            <m:rPr>
              <m:nor/>
              <m:sty m:val="p"/>
            </m:rPr>
            <m:t>NRB:</m:t>
          </m:r>
          <m:r>
            <m:t> </m:t>
          </m:r>
          <m:sSubSup>
            <m:e>
              <m:r>
                <m:t>γ</m:t>
              </m:r>
            </m:e>
            <m:sub>
              <m:r>
                <m:t>T</m:t>
              </m:r>
            </m:sub>
            <m:sup>
              <m:r>
                <m:t>0</m:t>
              </m:r>
            </m:sup>
          </m:sSubSup>
          <m:r>
            <m:rPr>
              <m:sty m:val="p"/>
            </m:rPr>
            <m:t>=</m:t>
          </m:r>
          <m:r>
            <m:rPr>
              <m:sty m:val="p"/>
            </m:rPr>
            <m:t>|</m:t>
          </m:r>
          <m:r>
            <m:t>G</m:t>
          </m:r>
          <m:r>
            <m:t>S</m:t>
          </m:r>
          <m:r>
            <m:t>L</m:t>
          </m:r>
          <m:r>
            <m:t>C</m:t>
          </m:r>
          <m:sSup>
            <m:e>
              <m:r>
                <m:rPr>
                  <m:sty m:val="p"/>
                </m:rPr>
                <m:t>|</m:t>
              </m:r>
            </m:e>
            <m:sup>
              <m:r>
                <m:t>2</m:t>
              </m:r>
            </m:sup>
          </m:sSup>
        </m:oMath>
      </m:oMathPara>
    </w:p>
    <w:p>
      <w:pPr>
        <w:pStyle w:val="FirstParagraph"/>
      </w:pPr>
      <m:oMathPara>
        <m:oMathParaPr>
          <m:jc m:val="center"/>
        </m:oMathParaPr>
        <m:oMath>
          <m:r>
            <m:rPr>
              <m:nor/>
              <m:sty m:val="p"/>
            </m:rPr>
            <m:t>Flattended Phase:</m:t>
          </m:r>
          <m:r>
            <m:t> </m:t>
          </m:r>
          <m:sSub>
            <m:e>
              <m:r>
                <m:t>φ</m:t>
              </m:r>
            </m:e>
            <m:sub>
              <m:r>
                <m:rPr>
                  <m:nor/>
                  <m:sty m:val="p"/>
                </m:rPr>
                <m:t>Flattended</m:t>
              </m:r>
            </m:sub>
          </m:sSub>
          <m:r>
            <m:rPr>
              <m:sty m:val="p"/>
            </m:rPr>
            <m:t>=</m:t>
          </m:r>
          <m:r>
            <m:rPr>
              <m:sty m:val="p"/>
            </m:rPr>
            <m:t>arg</m:t>
          </m:r>
          <m:r>
            <m:rPr>
              <m:sty m:val="p"/>
            </m:rPr>
            <m:t>(</m:t>
          </m:r>
          <m:r>
            <m:t>G</m:t>
          </m:r>
          <m:r>
            <m:t>S</m:t>
          </m:r>
          <m:r>
            <m:t>L</m:t>
          </m:r>
          <m:r>
            <m:t>C</m:t>
          </m:r>
          <m:r>
            <m:rPr>
              <m:sty m:val="p"/>
            </m:rPr>
            <m:t>)</m:t>
          </m:r>
        </m:oMath>
      </m:oMathPara>
    </w:p>
    <w:p>
      <w:pPr>
        <w:pStyle w:val="FirstParagraph"/>
      </w:pPr>
      <w:r>
        <w:t xml:space="preserve">For the POL product, the Flattened Phase is defined for a specific polarisation. Since off-diagonal elements of the covariance matrix contain the relative phase between two polarizations, other polarization(s) Flattened Phase can be estimated by subtracting the complex number phase of the off-diagonal elements from reference polarization Flattened phase. As for example, if the reference Flattened Phase is for HH polarization (</w:t>
      </w:r>
      <m:oMath>
        <m:sSub>
          <m:e>
            <m:r>
              <m:t>ϕ</m:t>
            </m:r>
          </m:e>
          <m:sub>
            <m:r>
              <m:t>H</m:t>
            </m:r>
            <m:r>
              <m:t>H</m:t>
            </m:r>
          </m:sub>
        </m:sSub>
      </m:oMath>
      <w:r>
        <w:t xml:space="preserve">), then the Flattened Phase for VV polarization is</w:t>
      </w:r>
      <w:r>
        <w:t xml:space="preserve"> </w:t>
      </w:r>
      <m:oMath>
        <m:sSub>
          <m:e>
            <m:r>
              <m:t>ϕ</m:t>
            </m:r>
          </m:e>
          <m:sub>
            <m:r>
              <m:t>V</m:t>
            </m:r>
            <m:r>
              <m:t>V</m:t>
            </m:r>
          </m:sub>
        </m:sSub>
        <m:r>
          <m:rPr>
            <m:sty m:val="p"/>
          </m:rPr>
          <m:t>=</m:t>
        </m:r>
        <m:sSub>
          <m:e>
            <m:r>
              <m:t>ϕ</m:t>
            </m:r>
          </m:e>
          <m:sub>
            <m:r>
              <m:t>H</m:t>
            </m:r>
            <m:r>
              <m:t>H</m:t>
            </m:r>
          </m:sub>
        </m:sSub>
        <m:r>
          <m:rPr>
            <m:sty m:val="p"/>
          </m:rPr>
          <m:t>−</m:t>
        </m:r>
        <m:r>
          <m:rPr>
            <m:sty m:val="p"/>
          </m:rPr>
          <m:t>arg</m:t>
        </m:r>
        <m:r>
          <m:t>​</m:t>
        </m:r>
        <m:d>
          <m:dPr>
            <m:begChr m:val="("/>
            <m:sepChr m:val=""/>
            <m:endChr m:val=")"/>
            <m:grow/>
          </m:dPr>
          <m:e>
            <m:r>
              <m:t>H</m:t>
            </m:r>
            <m:r>
              <m:t>H</m:t>
            </m:r>
            <m:r>
              <m:t> </m:t>
            </m:r>
            <m:r>
              <m:t>V</m:t>
            </m:r>
            <m:sSup>
              <m:e>
                <m:r>
                  <m:t>V</m:t>
                </m:r>
              </m:e>
              <m:sup>
                <m:r>
                  <m:rPr>
                    <m:sty m:val="p"/>
                  </m:rPr>
                  <m:t>*</m:t>
                </m:r>
              </m:sup>
            </m:sSup>
          </m:e>
        </m:d>
      </m:oMath>
      <w:r>
        <w:t xml:space="preserve">. Nonetheless, since the elements of the covariance matrix have been averaged, providing individual polarization Flattened Phase images under requirement</w:t>
      </w:r>
      <w:r>
        <w:t xml:space="preserve"> </w:t>
      </w:r>
      <w:r>
        <w:t xml:space="preserve">“Flattened Phase”</w:t>
      </w:r>
      <w:r>
        <w:t xml:space="preserve"> </w:t>
      </w:r>
      <w:r>
        <w:t xml:space="preserve">in the applicable PFS is more accurate.</w:t>
      </w:r>
    </w:p>
    <w:p>
      <w:pPr>
        <w:pStyle w:val="Textkrper"/>
      </w:pPr>
      <w:r>
        <w:t xml:space="preserve">InSAR from [GSLC] Demonstration:</w:t>
      </w:r>
    </w:p>
    <w:p>
      <w:pPr>
        <w:pStyle w:val="Textkrper"/>
      </w:pPr>
      <w:r>
        <w:t xml:space="preserve">From CEOS-ARD flattened SAR products, InSAR processing can be easily performed without dealing with topographic features and orbital sensor position, as for example with two [GSLC] products</w:t>
      </w:r>
    </w:p>
    <w:p>
      <w:pPr>
        <w:pStyle w:val="Textkrper"/>
      </w:pPr>
      <w:bookmarkStart w:id="306" w:name="eq:sar-topographic-phase-removal-eq4"/>
      <m:oMathPara>
        <m:oMathParaPr>
          <m:jc m:val="center"/>
        </m:oMathParaPr>
        <m:oMath>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SLC</m:t>
              </m:r>
              <m:r>
                <m:rPr>
                  <m:sty m:val="p"/>
                </m:rPr>
                <m:t>_</m:t>
              </m:r>
              <m:r>
                <m:t>1</m:t>
              </m:r>
            </m:sub>
          </m:sSub>
          <m:r>
            <m:rPr>
              <m:sty m:val="p"/>
            </m:rPr>
            <m:t>−</m:t>
          </m:r>
          <m:r>
            <m:rPr>
              <m:sty m:val="p"/>
            </m:rPr>
            <m:t>Δ</m:t>
          </m:r>
          <m:sSub>
            <m:e>
              <m:r>
                <m:t>φ</m:t>
              </m:r>
            </m:e>
            <m:sub>
              <m:r>
                <m:rPr>
                  <m:nor/>
                  <m:sty m:val="p"/>
                </m:rPr>
                <m:t>Topo</m:t>
              </m:r>
              <m:r>
                <m:rPr>
                  <m:sty m:val="p"/>
                </m:rPr>
                <m:t>_</m:t>
              </m:r>
              <m:r>
                <m:rPr>
                  <m:nor/>
                  <m:sty m:val="p"/>
                </m:rPr>
                <m:t>OrbRef</m:t>
              </m:r>
              <m:r>
                <m:rPr>
                  <m:sty m:val="p"/>
                </m:rPr>
                <m:t>−</m:t>
              </m:r>
              <m:r>
                <m:t>1</m:t>
              </m:r>
            </m:sub>
          </m:sSub>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t>  </m:t>
          </m:r>
          <m:r>
            <m:rPr>
              <m:sty m:val="p"/>
            </m:rPr>
            <m:t>(</m:t>
          </m:r>
          <m:r>
            <m:t>4</m:t>
          </m:r>
          <m:r>
            <m:rPr>
              <m:sty m:val="p"/>
            </m:rPr>
            <m:t>)</m:t>
          </m:r>
        </m:oMath>
      </m:oMathPara>
      <w:bookmarkEnd w:id="306"/>
    </w:p>
    <w:p>
      <w:pPr>
        <w:pStyle w:val="FirstParagraph"/>
      </w:pPr>
      <w:bookmarkStart w:id="307" w:name="eq:sar-topographic-phase-removal-eq5"/>
      <m:oMathPara>
        <m:oMathParaPr>
          <m:jc m:val="center"/>
        </m:oMathParaPr>
        <m:oMath>
          <m:sSub>
            <m:e>
              <m:r>
                <m:t>φ</m:t>
              </m:r>
            </m:e>
            <m:sub>
              <m:r>
                <m:rPr>
                  <m:nor/>
                  <m:sty m:val="p"/>
                </m:rPr>
                <m:t>Flattened</m:t>
              </m:r>
              <m:r>
                <m:rPr>
                  <m:sty m:val="p"/>
                </m:rPr>
                <m:t>_</m:t>
              </m:r>
              <m:r>
                <m:rPr>
                  <m:nor/>
                  <m:sty m:val="p"/>
                </m:rPr>
                <m:t>GSLC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5</m:t>
          </m:r>
          <m:r>
            <m:rPr>
              <m:sty m:val="p"/>
            </m:rPr>
            <m:t>)</m:t>
          </m:r>
        </m:oMath>
      </m:oMathPara>
      <w:bookmarkEnd w:id="307"/>
    </w:p>
    <w:p>
      <w:pPr>
        <w:pStyle w:val="FirstParagraph"/>
      </w:pPr>
      <w:r>
        <w:t xml:space="preserve">The differential phase is</w:t>
      </w:r>
    </w:p>
    <w:p>
      <w:pPr>
        <w:pStyle w:val="Textkrper"/>
      </w:pPr>
      <w:bookmarkStart w:id="308" w:name="eq:sar-topographic-phase-removal-eq6"/>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Flattened</m:t>
              </m:r>
              <m:r>
                <m:rPr>
                  <m:sty m:val="p"/>
                </m:rPr>
                <m:t>_</m:t>
              </m:r>
              <m:r>
                <m:rPr>
                  <m:nor/>
                  <m:sty m:val="p"/>
                </m:rPr>
                <m:t>GSLC</m:t>
              </m:r>
              <m:r>
                <m:rPr>
                  <m:sty m:val="p"/>
                </m:rPr>
                <m:t>_</m:t>
              </m:r>
              <m:r>
                <m:t>2</m:t>
              </m:r>
            </m:sub>
          </m:sSub>
          <m:r>
            <m:t>  </m:t>
          </m:r>
          <m:r>
            <m:rPr>
              <m:sty m:val="p"/>
            </m:rPr>
            <m:t>(</m:t>
          </m:r>
          <m:r>
            <m:t>6</m:t>
          </m:r>
          <m:r>
            <m:rPr>
              <m:sty m:val="p"/>
            </m:rPr>
            <m:t>)</m:t>
          </m:r>
        </m:oMath>
      </m:oMathPara>
      <w:bookmarkEnd w:id="308"/>
    </w:p>
    <w:p>
      <w:pPr>
        <w:pStyle w:val="FirstParagraph"/>
      </w:pPr>
      <w:r>
        <w:t xml:space="preserve">Which can be expanded using (Eq. </w:t>
      </w:r>
      <w:hyperlink w:anchor="eq:sar-topographic-phase-removal-eq3">
        <w:r>
          <w:rPr>
            <w:rStyle w:val="Hyperlink"/>
          </w:rPr>
          <w:t xml:space="preserve">3</w:t>
        </w:r>
      </w:hyperlink>
      <w:r>
        <w:t xml:space="preserve">)</w:t>
      </w:r>
    </w:p>
    <w:p>
      <w:pPr>
        <w:pStyle w:val="Textkrper"/>
      </w:pPr>
      <w:bookmarkStart w:id="309" w:name="eq:sar-topographic-phase-removal-eq7"/>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7</m:t>
          </m:r>
          <m:r>
            <m:rPr>
              <m:sty m:val="p"/>
            </m:rPr>
            <m:t>)</m:t>
          </m:r>
        </m:oMath>
      </m:oMathPara>
      <w:bookmarkEnd w:id="309"/>
    </w:p>
    <w:p>
      <w:pPr>
        <w:pStyle w:val="FirstParagraph"/>
      </w:pPr>
      <w:bookmarkStart w:id="310" w:name="eq:sar-topographic-phase-removal-eq8"/>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SLC</m:t>
              </m:r>
              <m:r>
                <m:rPr>
                  <m:sty m:val="p"/>
                </m:rPr>
                <m:t>_</m:t>
              </m:r>
              <m:r>
                <m:t>2</m:t>
              </m:r>
            </m:sub>
          </m:sSub>
          <m:r>
            <m:rPr>
              <m:sty m:val="p"/>
            </m:rPr>
            <m:t>)</m:t>
          </m:r>
          <m:r>
            <m:rPr>
              <m:sty m:val="p"/>
            </m:rPr>
            <m:t>−</m:t>
          </m:r>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8</m:t>
          </m:r>
          <m:r>
            <m:rPr>
              <m:sty m:val="p"/>
            </m:rPr>
            <m:t>)</m:t>
          </m:r>
        </m:oMath>
      </m:oMathPara>
      <w:bookmarkEnd w:id="310"/>
    </w:p>
    <w:p>
      <w:pPr>
        <w:pStyle w:val="FirstParagraph"/>
      </w:pPr>
      <w:bookmarkStart w:id="311" w:name="eq:sar-topographic-phase-removal-eq9"/>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SLC</m:t>
              </m:r>
              <m:r>
                <m:rPr>
                  <m:sty m:val="p"/>
                </m:rPr>
                <m:t>_</m:t>
              </m:r>
              <m:r>
                <m:t>1</m:t>
              </m:r>
              <m:r>
                <m:rPr>
                  <m:sty m:val="p"/>
                </m:rPr>
                <m:t>−</m:t>
              </m:r>
              <m:r>
                <m:rPr>
                  <m:nor/>
                  <m:sty m:val="p"/>
                </m:rPr>
                <m:t>SLC</m:t>
              </m:r>
              <m:r>
                <m:rPr>
                  <m:sty m:val="p"/>
                </m:rPr>
                <m:t>_</m:t>
              </m:r>
              <m:r>
                <m:t>2</m:t>
              </m:r>
            </m:sub>
          </m:sSub>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9</m:t>
          </m:r>
          <m:r>
            <m:rPr>
              <m:sty m:val="p"/>
            </m:rPr>
            <m:t>)</m:t>
          </m:r>
        </m:oMath>
      </m:oMathPara>
      <w:bookmarkEnd w:id="311"/>
    </w:p>
    <w:p>
      <w:pPr>
        <w:pStyle w:val="FirstParagraph"/>
      </w:pPr>
      <w:r>
        <w:t xml:space="preserve">Where</w:t>
      </w:r>
      <w:r>
        <w:t xml:space="preserve"> </w:t>
      </w:r>
      <m:oMath>
        <m:r>
          <m:rPr>
            <m:sty m:val="p"/>
          </m:rPr>
          <m:t>Δ</m:t>
        </m:r>
        <m:sSub>
          <m:e>
            <m:r>
              <m:t>φ</m:t>
            </m:r>
          </m:e>
          <m:sub>
            <m:r>
              <m:rPr>
                <m:nor/>
                <m:sty m:val="p"/>
              </m:rPr>
              <m:t>SLC</m:t>
            </m:r>
            <m:r>
              <m:rPr>
                <m:sty m:val="p"/>
              </m:rPr>
              <m:t>_</m:t>
            </m:r>
            <m:r>
              <m:t>1</m:t>
            </m:r>
            <m:r>
              <m:rPr>
                <m:sty m:val="p"/>
              </m:rPr>
              <m:t>−</m:t>
            </m:r>
            <m:r>
              <m:rPr>
                <m:nor/>
                <m:sty m:val="p"/>
              </m:rPr>
              <m:t>SLC</m:t>
            </m:r>
            <m:r>
              <m:rPr>
                <m:sty m:val="p"/>
              </m:rPr>
              <m:t>_</m:t>
            </m:r>
            <m:r>
              <m:t>2</m:t>
            </m:r>
          </m:sub>
        </m:sSub>
      </m:oMath>
      <w:r>
        <w:t xml:space="preserve"> </w:t>
      </w:r>
      <w:r>
        <w:t xml:space="preserve">can be expressed as Eq. </w:t>
      </w:r>
      <w:hyperlink w:anchor="eq:sar-topographic-phase-removal-eq1">
        <w:r>
          <w:rPr>
            <w:rStyle w:val="Hyperlink"/>
          </w:rPr>
          <w:t xml:space="preserve">1</w:t>
        </w:r>
      </w:hyperlink>
      <w:r>
        <w:t xml:space="preserve">, which gives</w:t>
      </w:r>
    </w:p>
    <w:p>
      <w:pPr>
        <w:pStyle w:val="Textkrper"/>
      </w:pPr>
      <w:bookmarkStart w:id="312" w:name="eq:sar-topographic-phase-removal-eq10"/>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10</m:t>
          </m:r>
          <m:r>
            <m:rPr>
              <m:sty m:val="p"/>
            </m:rPr>
            <m:t>)</m:t>
          </m:r>
        </m:oMath>
      </m:oMathPara>
      <w:bookmarkEnd w:id="312"/>
    </w:p>
    <w:p>
      <w:pPr>
        <w:pStyle w:val="FirstParagraph"/>
      </w:pPr>
      <w:r>
        <w:t xml:space="preserve">Consequently, the differential phase of two CEOS-ARD products doesn’t contain a topographic phase and is already unwrapped (at least over stable areas). It is only function of the surface displacement and of the noise term. Depending on the reference DEM and the satellite orbital state vector accuracies, some residual topographic phase could be present. Atmospheric (see</w:t>
      </w:r>
      <w:r>
        <w:t xml:space="preserve"> </w:t>
      </w:r>
      <w:hyperlink w:anchor="sec:pxl-atphaci">
        <w:r>
          <w:rPr>
            <w:rStyle w:val="Hyperlink"/>
          </w:rPr>
          <w:t xml:space="preserve">Per-Pixel Metadata: Atmospheric Phase Correction Image</w:t>
        </w:r>
      </w:hyperlink>
      <w:r>
        <w:t xml:space="preserve">) and ionospheric (see</w:t>
      </w:r>
      <w:r>
        <w:t xml:space="preserve"> </w:t>
      </w:r>
      <w:hyperlink w:anchor="sec:pxl-piopha">
        <w:r>
          <w:rPr>
            <w:rStyle w:val="Hyperlink"/>
          </w:rPr>
          <w:t xml:space="preserve">Per-Pixel Metadata: Ionospheric Phase Correction Image</w:t>
        </w:r>
      </w:hyperlink>
      <w:r>
        <w:t xml:space="preserve">) phase corrections could be performed during the production of CEOS-ARD products, which reduces the differential phase noise in an InSAR analysis.</w:t>
      </w:r>
    </w:p>
    <w:p>
      <w:pPr>
        <w:pStyle w:val="Textkrper"/>
      </w:pPr>
      <w:bookmarkStart w:id="313" w:name="eq:sar-topographic-phase-removal-eq11"/>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t>  </m:t>
          </m:r>
          <m:r>
            <m:rPr>
              <m:sty m:val="p"/>
            </m:rPr>
            <m:t>(</m:t>
          </m:r>
          <m:r>
            <m:t>11</m:t>
          </m:r>
          <m:r>
            <m:rPr>
              <m:sty m:val="p"/>
            </m:rPr>
            <m:t>)</m:t>
          </m:r>
        </m:oMath>
      </m:oMathPara>
      <w:bookmarkEnd w:id="313"/>
    </w:p>
    <w:bookmarkEnd w:id="314"/>
    <w:bookmarkStart w:id="346" w:name="sec:annex-sar-gslc-example"/>
    <w:p>
      <w:pPr>
        <w:pStyle w:val="berschrift3"/>
      </w:pPr>
      <w:r>
        <w:t xml:space="preserve">Geocoded Single-Look Complex example</w:t>
      </w:r>
    </w:p>
    <w:p>
      <w:pPr>
        <w:pStyle w:val="FirstParagraph"/>
      </w:pPr>
      <w:r>
        <w:t xml:space="preserve">In contrast to basic NRB and</w:t>
      </w:r>
      <w:r>
        <w:t xml:space="preserve"> </w:t>
      </w:r>
      <w:r>
        <w:rPr>
          <w:b/>
          <w:bCs/>
        </w:rPr>
        <w:t xml:space="preserve">POL products</w:t>
      </w:r>
      <w:r>
        <w:t xml:space="preserve">, CEOS-ARD Geocoded SLC GSLC products are kept close to the native resolution in complex data format for which local topographic InSAR phases, relative to a reference orbit</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have been removed. Having a volume of GSLC products acquired over repeat cycles, already radiometric and phase terrain corrected and geocoded (Figures </w:t>
      </w:r>
      <w:hyperlink w:anchor="fig:sar-gslc-example-fig1a">
        <w:r>
          <w:rPr>
            <w:rStyle w:val="Hyperlink"/>
          </w:rPr>
          <w:t xml:space="preserve">1</w:t>
        </w:r>
      </w:hyperlink>
      <w:r>
        <w:t xml:space="preserve">,</w:t>
      </w:r>
      <w:r>
        <w:t xml:space="preserve"> </w:t>
      </w:r>
      <w:hyperlink w:anchor="fig:sar-gslc-example-fig1b">
        <w:r>
          <w:rPr>
            <w:rStyle w:val="Hyperlink"/>
          </w:rPr>
          <w:t xml:space="preserve">2</w:t>
        </w:r>
      </w:hyperlink>
      <w:r>
        <w:t xml:space="preserve">), allows user-friendly production of a first iteration of the InSAR coherence (Eq. </w:t>
      </w:r>
      <w:hyperlink w:anchor="eq:sar-gslc-example-eq1">
        <w:r>
          <w:rPr>
            <w:rStyle w:val="Hyperlink"/>
          </w:rPr>
          <w:t xml:space="preserve">12</w:t>
        </w:r>
      </w:hyperlink>
      <w:r>
        <w:t xml:space="preserve">, Figure </w:t>
      </w:r>
      <w:hyperlink w:anchor="fig:sar-gslc-example-fig1c">
        <w:r>
          <w:rPr>
            <w:rStyle w:val="Hyperlink"/>
          </w:rPr>
          <w:t xml:space="preserve">3</w:t>
        </w:r>
      </w:hyperlink>
      <w:r>
        <w:t xml:space="preserve">) and differential phases (Eq. </w:t>
      </w:r>
      <w:hyperlink w:anchor="eq:sar-gslc-example-eq2">
        <w:r>
          <w:rPr>
            <w:rStyle w:val="Hyperlink"/>
          </w:rPr>
          <w:t xml:space="preserve">13</w:t>
        </w:r>
      </w:hyperlink>
      <w:r>
        <w:t xml:space="preserve">, Figure </w:t>
      </w:r>
      <w:hyperlink w:anchor="fig:sar-gslc-example-fig1d">
        <w:r>
          <w:rPr>
            <w:rStyle w:val="Hyperlink"/>
          </w:rPr>
          <w:t xml:space="preserve">4</w:t>
        </w:r>
      </w:hyperlink>
      <w:r>
        <w:t xml:space="preserve">) in between GSLC pairs, simply by applying local averaging window over the product of a GSLC product (GSLC1) with the complex conjugate of a second GSLC (GSLC2) divided by their local averaged intensities. These intermediate files could be used for coherent change detection analysis and surface displacement monitoring.</w:t>
      </w:r>
    </w:p>
    <w:p>
      <w:pPr>
        <w:pStyle w:val="Textkrper"/>
      </w:pPr>
      <w:bookmarkStart w:id="315" w:name="eq:sar-gslc-example-eq1"/>
      <m:oMathPara>
        <m:oMathParaPr>
          <m:jc m:val="center"/>
        </m:oMathParaPr>
        <m:oMath>
          <m:r>
            <m:rPr>
              <m:nor/>
              <m:sty m:val="p"/>
            </m:rPr>
            <m:t>Complex coherence:</m:t>
          </m:r>
          <m:r>
            <m:t> </m:t>
          </m:r>
          <m:r>
            <m:t>ρ</m:t>
          </m:r>
          <m:r>
            <m:rPr>
              <m:sty m:val="p"/>
            </m:rPr>
            <m:t>=</m:t>
          </m:r>
          <m:f>
            <m:fPr>
              <m:type m:val="bar"/>
            </m:fPr>
            <m:num>
              <m:r>
                <m:rPr>
                  <m:sty m:val="p"/>
                </m:rPr>
                <m:t>∑</m:t>
              </m:r>
              <m:r>
                <m:rPr>
                  <m:sty m:val="p"/>
                </m:rPr>
                <m:t>[</m:t>
              </m:r>
              <m:r>
                <m:t>G</m:t>
              </m:r>
              <m:r>
                <m:t>S</m:t>
              </m:r>
              <m:r>
                <m:t>L</m:t>
              </m:r>
              <m:sSub>
                <m:e>
                  <m:r>
                    <m:t>C</m:t>
                  </m:r>
                </m:e>
                <m:sub>
                  <m:r>
                    <m:t>1</m:t>
                  </m:r>
                </m:sub>
              </m:sSub>
              <m:r>
                <m:rPr>
                  <m:sty m:val="p"/>
                </m:rPr>
                <m:t>*</m:t>
              </m:r>
              <m:r>
                <m:t>c</m:t>
              </m:r>
              <m:r>
                <m:t>o</m:t>
              </m:r>
              <m:r>
                <m:t>n</m:t>
              </m:r>
              <m:r>
                <m:t>j</m:t>
              </m:r>
              <m:r>
                <m:rPr>
                  <m:sty m:val="p"/>
                </m:rPr>
                <m:t>(</m:t>
              </m:r>
              <m:r>
                <m:t>G</m:t>
              </m:r>
              <m:r>
                <m:t>S</m:t>
              </m:r>
              <m:r>
                <m:t>L</m:t>
              </m:r>
              <m:sSub>
                <m:e>
                  <m:r>
                    <m:t>C</m:t>
                  </m:r>
                </m:e>
                <m:sub>
                  <m:r>
                    <m:t>2</m:t>
                  </m:r>
                </m:sub>
              </m:sSub>
              <m:r>
                <m:rPr>
                  <m:sty m:val="p"/>
                </m:rPr>
                <m:t>)</m:t>
              </m:r>
              <m:r>
                <m:rPr>
                  <m:sty m:val="p"/>
                </m:rPr>
                <m:t>]</m:t>
              </m:r>
            </m:num>
            <m:den>
              <m:rad>
                <m:radPr>
                  <m:degHide m:val="on"/>
                </m:radPr>
                <m:deg/>
                <m:e>
                  <m:r>
                    <m:rPr>
                      <m:sty m:val="p"/>
                    </m:rPr>
                    <m:t>∑</m:t>
                  </m:r>
                  <m:r>
                    <m:rPr>
                      <m:sty m:val="p"/>
                    </m:rPr>
                    <m:t>|</m:t>
                  </m:r>
                  <m:r>
                    <m:t>G</m:t>
                  </m:r>
                  <m:r>
                    <m:t>S</m:t>
                  </m:r>
                  <m:r>
                    <m:t>L</m:t>
                  </m:r>
                  <m:sSub>
                    <m:e>
                      <m:r>
                        <m:t>C</m:t>
                      </m:r>
                    </m:e>
                    <m:sub>
                      <m:r>
                        <m:t>1</m:t>
                      </m:r>
                    </m:sub>
                  </m:sSub>
                  <m:sSup>
                    <m:e>
                      <m:r>
                        <m:rPr>
                          <m:sty m:val="p"/>
                        </m:rPr>
                        <m:t>|</m:t>
                      </m:r>
                    </m:e>
                    <m:sup>
                      <m:r>
                        <m:t>2</m:t>
                      </m:r>
                    </m:sup>
                  </m:sSup>
                  <m:r>
                    <m:rPr>
                      <m:sty m:val="p"/>
                    </m:rPr>
                    <m:t>*</m:t>
                  </m:r>
                  <m:r>
                    <m:rPr>
                      <m:sty m:val="p"/>
                    </m:rPr>
                    <m:t>∑</m:t>
                  </m:r>
                  <m:r>
                    <m:rPr>
                      <m:sty m:val="p"/>
                    </m:rPr>
                    <m:t>|</m:t>
                  </m:r>
                  <m:r>
                    <m:t>G</m:t>
                  </m:r>
                  <m:r>
                    <m:t>S</m:t>
                  </m:r>
                  <m:r>
                    <m:t>L</m:t>
                  </m:r>
                  <m:sSub>
                    <m:e>
                      <m:r>
                        <m:t>C</m:t>
                      </m:r>
                    </m:e>
                    <m:sub>
                      <m:r>
                        <m:t>2</m:t>
                      </m:r>
                    </m:sub>
                  </m:sSub>
                  <m:sSup>
                    <m:e>
                      <m:r>
                        <m:rPr>
                          <m:sty m:val="p"/>
                        </m:rPr>
                        <m:t>|</m:t>
                      </m:r>
                    </m:e>
                    <m:sup>
                      <m:r>
                        <m:t>2</m:t>
                      </m:r>
                    </m:sup>
                  </m:sSup>
                </m:e>
              </m:rad>
            </m:den>
          </m:f>
          <m:r>
            <m:t>  </m:t>
          </m:r>
          <m:r>
            <m:rPr>
              <m:sty m:val="p"/>
            </m:rPr>
            <m:t>(</m:t>
          </m:r>
          <m:r>
            <m:t>12</m:t>
          </m:r>
          <m:r>
            <m:rPr>
              <m:sty m:val="p"/>
            </m:rPr>
            <m:t>)</m:t>
          </m:r>
        </m:oMath>
      </m:oMathPara>
      <w:bookmarkEnd w:id="315"/>
    </w:p>
    <w:p>
      <w:pPr>
        <w:pStyle w:val="FirstParagraph"/>
      </w:pPr>
      <w:r>
        <w:t xml:space="preserve">The InSAR differential phase (Eq. </w:t>
      </w:r>
      <w:hyperlink w:anchor="eq:sar-gslc-example-eq2">
        <w:r>
          <w:rPr>
            <w:rStyle w:val="Hyperlink"/>
          </w:rPr>
          <w:t xml:space="preserve">13</w:t>
        </w:r>
      </w:hyperlink>
      <w:r>
        <w:t xml:space="preserve">) is the argument of the complex coherence estimated with Eq. </w:t>
      </w:r>
      <w:hyperlink w:anchor="eq:sar-gslc-example-eq1">
        <w:r>
          <w:rPr>
            <w:rStyle w:val="Hyperlink"/>
          </w:rPr>
          <w:t xml:space="preserve">12</w:t>
        </w:r>
      </w:hyperlink>
      <w:r>
        <w:t xml:space="preserve">.</w:t>
      </w:r>
    </w:p>
    <w:p>
      <w:pPr>
        <w:pStyle w:val="Textkrper"/>
      </w:pPr>
      <w:bookmarkStart w:id="316" w:name="eq:sar-gslc-example-eq2"/>
      <m:oMathPara>
        <m:oMathParaPr>
          <m:jc m:val="center"/>
        </m:oMathParaPr>
        <m:oMath>
          <m:r>
            <m:rPr>
              <m:nor/>
              <m:sty m:val="p"/>
            </m:rPr>
            <m:t>InSAR differential phase:</m:t>
          </m:r>
          <m:r>
            <m:t> </m:t>
          </m:r>
          <m:r>
            <m:t>φ</m:t>
          </m:r>
          <m:r>
            <m:rPr>
              <m:sty m:val="p"/>
            </m:rPr>
            <m:t>=</m:t>
          </m:r>
          <m:r>
            <m:rPr>
              <m:sty m:val="p"/>
            </m:rPr>
            <m:t>arg</m:t>
          </m:r>
          <m:r>
            <m:rPr>
              <m:sty m:val="p"/>
            </m:rPr>
            <m:t>(</m:t>
          </m:r>
          <m:r>
            <m:t>ρ</m:t>
          </m:r>
          <m:r>
            <m:rPr>
              <m:sty m:val="p"/>
            </m:rPr>
            <m:t>)</m:t>
          </m:r>
          <m:r>
            <m:t>  </m:t>
          </m:r>
          <m:r>
            <m:rPr>
              <m:sty m:val="p"/>
            </m:rPr>
            <m:t>(</m:t>
          </m:r>
          <m:r>
            <m:t>13</m:t>
          </m:r>
          <m:r>
            <m:rPr>
              <m:sty m:val="p"/>
            </m:rPr>
            <m:t>)</m:t>
          </m:r>
        </m:oMath>
      </m:oMathPara>
      <w:bookmarkEnd w:id="316"/>
    </w:p>
    <w:p>
      <w:pPr>
        <w:pStyle w:val="FirstParagraph"/>
      </w:pPr>
      <w:r>
        <w:t xml:space="preserve">Some advanced NRB or POL products could include per-pixel “Flattened Phase” data. This “Flattened Phase” enables the possibility to perform InSAR analysis as with two GSLC products. As for example, from two different NRB products (NRB1) and (NRB2), acquired over repeat cycles (i.e., on the same relative orbit), containing</w:t>
      </w:r>
      <w:r>
        <w:t xml:space="preserve"> </w:t>
      </w:r>
      <m:oMath>
        <m:sSubSup>
          <m:e>
            <m:r>
              <m:t>γ</m:t>
            </m:r>
          </m:e>
          <m:sub>
            <m:r>
              <m:t>T</m:t>
            </m:r>
          </m:sub>
          <m:sup>
            <m:r>
              <m:t>0</m:t>
            </m:r>
          </m:sup>
        </m:sSubSup>
      </m:oMath>
      <w:r>
        <w:t xml:space="preserve"> </w:t>
      </w:r>
      <w:r>
        <w:t xml:space="preserve">and their corresponding “Flattened Phase” (FPh1) and (FPh2) per-pixel data, the complex InSAR coherence (Eq. </w:t>
      </w:r>
      <w:hyperlink w:anchor="eq:sar-gslc-example-eq3">
        <w:r>
          <w:rPr>
            <w:rStyle w:val="Hyperlink"/>
          </w:rPr>
          <w:t xml:space="preserve">14</w:t>
        </w:r>
      </w:hyperlink>
      <w:r>
        <w:t xml:space="preserve">) can be estimated in the similar manner as Eq. </w:t>
      </w:r>
      <w:hyperlink w:anchor="eq:sar-gslc-example-eq1">
        <w:r>
          <w:rPr>
            <w:rStyle w:val="Hyperlink"/>
          </w:rPr>
          <w:t xml:space="preserve">12</w:t>
        </w:r>
      </w:hyperlink>
      <w:r>
        <w:t xml:space="preserve"> </w:t>
      </w:r>
      <w:r>
        <w:t xml:space="preserve">for GSLC products.</w:t>
      </w:r>
    </w:p>
    <w:p>
      <w:pPr>
        <w:pStyle w:val="Textkrper"/>
      </w:pPr>
      <w:bookmarkStart w:id="317" w:name="eq:sar-gslc-example-eq3"/>
      <m:oMathPara>
        <m:oMathParaPr>
          <m:jc m:val="center"/>
        </m:oMathParaPr>
        <m:oMath>
          <m:r>
            <m:rPr>
              <m:nor/>
              <m:sty m:val="p"/>
            </m:rPr>
            <m:t>Complex coherence:</m:t>
          </m:r>
          <m:r>
            <m:t> </m:t>
          </m:r>
          <m:sSub>
            <m:e>
              <m:r>
                <m:t>ρ</m:t>
              </m:r>
            </m:e>
            <m:sub>
              <m:r>
                <m:t>N</m:t>
              </m:r>
              <m:r>
                <m:t>R</m:t>
              </m:r>
              <m:r>
                <m:t>B</m:t>
              </m:r>
            </m:sub>
          </m:sSub>
          <m:r>
            <m:rPr>
              <m:sty m:val="p"/>
            </m:rPr>
            <m:t>=</m:t>
          </m:r>
          <m:f>
            <m:fPr>
              <m:type m:val="bar"/>
            </m:fPr>
            <m:num>
              <m:r>
                <m:rPr>
                  <m:sty m:val="p"/>
                </m:rPr>
                <m:t>∑</m:t>
              </m:r>
              <m:r>
                <m:rPr>
                  <m:sty m:val="p"/>
                </m:rPr>
                <m:t>[</m:t>
              </m:r>
              <m:r>
                <m:rPr>
                  <m:sty m:val="p"/>
                </m:rPr>
                <m:t>(</m:t>
              </m:r>
              <m:rad>
                <m:radPr>
                  <m:degHide m:val="on"/>
                </m:radPr>
                <m:deg/>
                <m:e>
                  <m:r>
                    <m:t>N</m:t>
                  </m:r>
                  <m:r>
                    <m:t>R</m:t>
                  </m:r>
                  <m:sSub>
                    <m:e>
                      <m:r>
                        <m:t>B</m:t>
                      </m:r>
                    </m:e>
                    <m:sub>
                      <m:r>
                        <m:t>1</m:t>
                      </m:r>
                    </m:sub>
                  </m:sSub>
                </m:e>
              </m:rad>
              <m:r>
                <m:rPr>
                  <m:sty m:val="p"/>
                </m:rPr>
                <m:t>⋅</m:t>
              </m:r>
              <m:sSup>
                <m:e>
                  <m:r>
                    <m:t>e</m:t>
                  </m:r>
                </m:e>
                <m:sup>
                  <m:r>
                    <m:t>i</m:t>
                  </m:r>
                  <m:r>
                    <m:rPr>
                      <m:sty m:val="p"/>
                    </m:rPr>
                    <m:t>⋅</m:t>
                  </m:r>
                  <m:r>
                    <m:t>F</m:t>
                  </m:r>
                  <m:r>
                    <m:t>P</m:t>
                  </m:r>
                  <m:r>
                    <m:t>h</m:t>
                  </m:r>
                  <m:r>
                    <m:t>1</m:t>
                  </m:r>
                </m:sup>
              </m:sSup>
              <m:r>
                <m:rPr>
                  <m:sty m:val="p"/>
                </m:rPr>
                <m:t>)</m:t>
              </m:r>
              <m:r>
                <m:rPr>
                  <m:sty m:val="p"/>
                </m:rPr>
                <m:t>⋅</m:t>
              </m:r>
              <m:r>
                <m:t>c</m:t>
              </m:r>
              <m:r>
                <m:t>o</m:t>
              </m:r>
              <m:r>
                <m:t>n</m:t>
              </m:r>
              <m:r>
                <m:t>j</m:t>
              </m:r>
              <m:r>
                <m:rPr>
                  <m:sty m:val="p"/>
                </m:rPr>
                <m:t>(</m:t>
              </m:r>
              <m:rad>
                <m:radPr>
                  <m:degHide m:val="on"/>
                </m:radPr>
                <m:deg/>
                <m:e>
                  <m:r>
                    <m:t>N</m:t>
                  </m:r>
                  <m:r>
                    <m:t>R</m:t>
                  </m:r>
                  <m:sSub>
                    <m:e>
                      <m:r>
                        <m:t>B</m:t>
                      </m:r>
                    </m:e>
                    <m:sub>
                      <m:r>
                        <m:t>2</m:t>
                      </m:r>
                    </m:sub>
                  </m:sSub>
                </m:e>
              </m:rad>
              <m:r>
                <m:rPr>
                  <m:sty m:val="p"/>
                </m:rPr>
                <m:t>⋅</m:t>
              </m:r>
              <m:sSup>
                <m:e>
                  <m:r>
                    <m:t>e</m:t>
                  </m:r>
                </m:e>
                <m:sup>
                  <m:r>
                    <m:t>i</m:t>
                  </m:r>
                  <m:r>
                    <m:rPr>
                      <m:sty m:val="p"/>
                    </m:rPr>
                    <m:t>⋅</m:t>
                  </m:r>
                  <m:r>
                    <m:t>F</m:t>
                  </m:r>
                  <m:r>
                    <m:t>P</m:t>
                  </m:r>
                  <m:r>
                    <m:t>h</m:t>
                  </m:r>
                  <m:r>
                    <m:t>2</m:t>
                  </m:r>
                </m:sup>
              </m:sSup>
              <m:r>
                <m:rPr>
                  <m:sty m:val="p"/>
                </m:rPr>
                <m:t>)</m:t>
              </m:r>
              <m:r>
                <m:rPr>
                  <m:sty m:val="p"/>
                </m:rPr>
                <m:t>]</m:t>
              </m:r>
            </m:num>
            <m:den>
              <m:rad>
                <m:radPr>
                  <m:degHide m:val="on"/>
                </m:radPr>
                <m:deg/>
                <m:e>
                  <m:r>
                    <m:rPr>
                      <m:sty m:val="p"/>
                    </m:rPr>
                    <m:t>∑</m:t>
                  </m:r>
                  <m:r>
                    <m:t>N</m:t>
                  </m:r>
                  <m:r>
                    <m:t>R</m:t>
                  </m:r>
                  <m:sSub>
                    <m:e>
                      <m:r>
                        <m:t>B</m:t>
                      </m:r>
                    </m:e>
                    <m:sub>
                      <m:r>
                        <m:t>1</m:t>
                      </m:r>
                    </m:sub>
                  </m:sSub>
                  <m:r>
                    <m:rPr>
                      <m:sty m:val="p"/>
                    </m:rPr>
                    <m:t>*</m:t>
                  </m:r>
                  <m:r>
                    <m:rPr>
                      <m:sty m:val="p"/>
                    </m:rPr>
                    <m:t>∑</m:t>
                  </m:r>
                  <m:r>
                    <m:t>N</m:t>
                  </m:r>
                  <m:r>
                    <m:t>R</m:t>
                  </m:r>
                  <m:sSub>
                    <m:e>
                      <m:r>
                        <m:t>B</m:t>
                      </m:r>
                    </m:e>
                    <m:sub>
                      <m:r>
                        <m:t>2</m:t>
                      </m:r>
                    </m:sub>
                  </m:sSub>
                </m:e>
              </m:rad>
            </m:den>
          </m:f>
          <m:r>
            <m:t>  </m:t>
          </m:r>
          <m:r>
            <m:rPr>
              <m:sty m:val="p"/>
            </m:rPr>
            <m:t>(</m:t>
          </m:r>
          <m:r>
            <m:t>14</m:t>
          </m:r>
          <m:r>
            <m:rPr>
              <m:sty m:val="p"/>
            </m:rPr>
            <m:t>)</m:t>
          </m:r>
        </m:oMath>
      </m:oMathPara>
      <w:bookmarkEnd w:id="317"/>
    </w:p>
    <w:p>
      <w:pPr>
        <w:pStyle w:val="FirstParagraph"/>
      </w:pPr>
      <w:r>
        <w:t xml:space="preserve">The following figures show Sentinel-1 GSLC product examples over Death Valley National Park, California, US:</w:t>
      </w:r>
    </w:p>
    <w:bookmarkStart w:id="321" w:name="fig:sar-gslc-example-fig1a"/>
    <w:p>
      <w:pPr>
        <w:pStyle w:val="CaptionedFigure"/>
      </w:pPr>
      <w:r>
        <w:drawing>
          <wp:inline>
            <wp:extent cx="3419475" cy="1743075"/>
            <wp:effectExtent b="0" l="0" r="0" t="0"/>
            <wp:docPr descr="Figure 1: GSLC1: Intensity data of the first GSLC product (2017-05-27)" title="" id="319" name="Picture"/>
            <a:graphic>
              <a:graphicData uri="http://schemas.openxmlformats.org/drawingml/2006/picture">
                <pic:pic>
                  <pic:nvPicPr>
                    <pic:cNvPr descr="assets/sar-gslc-example/S1-GSLC1.jpeg" id="320" name="Picture"/>
                    <pic:cNvPicPr>
                      <a:picLocks noChangeArrowheads="1" noChangeAspect="1"/>
                    </pic:cNvPicPr>
                  </pic:nvPicPr>
                  <pic:blipFill>
                    <a:blip r:embed="rId318"/>
                    <a:stretch>
                      <a:fillRect/>
                    </a:stretch>
                  </pic:blipFill>
                  <pic:spPr bwMode="auto">
                    <a:xfrm>
                      <a:off x="0" y="0"/>
                      <a:ext cx="3419475" cy="1743075"/>
                    </a:xfrm>
                    <a:prstGeom prst="rect">
                      <a:avLst/>
                    </a:prstGeom>
                    <a:noFill/>
                    <a:ln w="9525">
                      <a:noFill/>
                      <a:headEnd/>
                      <a:tailEnd/>
                    </a:ln>
                  </pic:spPr>
                </pic:pic>
              </a:graphicData>
            </a:graphic>
          </wp:inline>
        </w:drawing>
      </w:r>
    </w:p>
    <w:p>
      <w:pPr>
        <w:pStyle w:val="ImageCaption"/>
      </w:pPr>
      <w:r>
        <w:t xml:space="preserve">Figure 1: GSLC1: Intensity data of the first GSLC product (2017-05-27)</w:t>
      </w:r>
    </w:p>
    <w:bookmarkEnd w:id="321"/>
    <w:bookmarkStart w:id="325" w:name="fig:sar-gslc-example-fig1b"/>
    <w:p>
      <w:pPr>
        <w:pStyle w:val="CaptionedFigure"/>
      </w:pPr>
      <w:r>
        <w:drawing>
          <wp:inline>
            <wp:extent cx="3419475" cy="1666875"/>
            <wp:effectExtent b="0" l="0" r="0" t="0"/>
            <wp:docPr descr="Figure 2: GSLC2: Intensity data of the second GSLC product (2017-06-08)" title="" id="323" name="Picture"/>
            <a:graphic>
              <a:graphicData uri="http://schemas.openxmlformats.org/drawingml/2006/picture">
                <pic:pic>
                  <pic:nvPicPr>
                    <pic:cNvPr descr="assets/sar-gslc-example/S1-GSLC2.jpeg" id="324" name="Picture"/>
                    <pic:cNvPicPr>
                      <a:picLocks noChangeArrowheads="1" noChangeAspect="1"/>
                    </pic:cNvPicPr>
                  </pic:nvPicPr>
                  <pic:blipFill>
                    <a:blip r:embed="rId322"/>
                    <a:stretch>
                      <a:fillRect/>
                    </a:stretch>
                  </pic:blipFill>
                  <pic:spPr bwMode="auto">
                    <a:xfrm>
                      <a:off x="0" y="0"/>
                      <a:ext cx="3419475" cy="1666875"/>
                    </a:xfrm>
                    <a:prstGeom prst="rect">
                      <a:avLst/>
                    </a:prstGeom>
                    <a:noFill/>
                    <a:ln w="9525">
                      <a:noFill/>
                      <a:headEnd/>
                      <a:tailEnd/>
                    </a:ln>
                  </pic:spPr>
                </pic:pic>
              </a:graphicData>
            </a:graphic>
          </wp:inline>
        </w:drawing>
      </w:r>
    </w:p>
    <w:p>
      <w:pPr>
        <w:pStyle w:val="ImageCaption"/>
      </w:pPr>
      <w:r>
        <w:t xml:space="preserve">Figure 2: GSLC2: Intensity data of the second GSLC product (2017-06-08)</w:t>
      </w:r>
    </w:p>
    <w:bookmarkEnd w:id="325"/>
    <w:bookmarkStart w:id="329" w:name="fig:sar-gslc-example-fig1c"/>
    <w:p>
      <w:pPr>
        <w:pStyle w:val="CaptionedFigure"/>
      </w:pPr>
      <w:r>
        <w:drawing>
          <wp:inline>
            <wp:extent cx="3810000" cy="2540000"/>
            <wp:effectExtent b="0" l="0" r="0" t="0"/>
            <wp:docPr descr="Figure 3: InSAR coherence map generated directly from Figure 1 and Figure 2" title="" id="327" name="Picture"/>
            <a:graphic>
              <a:graphicData uri="http://schemas.openxmlformats.org/drawingml/2006/picture">
                <pic:pic>
                  <pic:nvPicPr>
                    <pic:cNvPr descr="assets/sar-gslc-example/S1-InSAR-coherence.png" id="328" name="Picture"/>
                    <pic:cNvPicPr>
                      <a:picLocks noChangeArrowheads="1" noChangeAspect="1"/>
                    </pic:cNvPicPr>
                  </pic:nvPicPr>
                  <pic:blipFill>
                    <a:blip r:embed="rId326"/>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3: InSAR coherence map generated directly from Figure </w:t>
      </w:r>
      <w:hyperlink w:anchor="fig:sar-gslc-example-fig1a">
        <w:r>
          <w:rPr>
            <w:rStyle w:val="Hyperlink"/>
          </w:rPr>
          <w:t xml:space="preserve">1</w:t>
        </w:r>
      </w:hyperlink>
      <w:r>
        <w:t xml:space="preserve"> </w:t>
      </w:r>
      <w:r>
        <w:t xml:space="preserve">and Figure </w:t>
      </w:r>
      <w:hyperlink w:anchor="fig:sar-gslc-example-fig1b">
        <w:r>
          <w:rPr>
            <w:rStyle w:val="Hyperlink"/>
          </w:rPr>
          <w:t xml:space="preserve">2</w:t>
        </w:r>
      </w:hyperlink>
    </w:p>
    <w:bookmarkEnd w:id="329"/>
    <w:bookmarkStart w:id="333" w:name="fig:sar-gslc-example-fig1d"/>
    <w:p>
      <w:pPr>
        <w:pStyle w:val="CaptionedFigure"/>
      </w:pPr>
      <w:r>
        <w:drawing>
          <wp:inline>
            <wp:extent cx="3810000" cy="2540000"/>
            <wp:effectExtent b="0" l="0" r="0" t="0"/>
            <wp:docPr descr="Figure 4: InSAR differential phase map generated directly from Figure 1 and Figure 2" title="" id="331" name="Picture"/>
            <a:graphic>
              <a:graphicData uri="http://schemas.openxmlformats.org/drawingml/2006/picture">
                <pic:pic>
                  <pic:nvPicPr>
                    <pic:cNvPr descr="assets/sar-gslc-example/S1-InSAR-differential-phase.png" id="332" name="Picture"/>
                    <pic:cNvPicPr>
                      <a:picLocks noChangeArrowheads="1" noChangeAspect="1"/>
                    </pic:cNvPicPr>
                  </pic:nvPicPr>
                  <pic:blipFill>
                    <a:blip r:embed="rId330"/>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4: InSAR differential phase map generated directly from Figure </w:t>
      </w:r>
      <w:hyperlink w:anchor="fig:sar-gslc-example-fig1a">
        <w:r>
          <w:rPr>
            <w:rStyle w:val="Hyperlink"/>
          </w:rPr>
          <w:t xml:space="preserve">1</w:t>
        </w:r>
      </w:hyperlink>
      <w:r>
        <w:t xml:space="preserve"> </w:t>
      </w:r>
      <w:r>
        <w:t xml:space="preserve">and Figure </w:t>
      </w:r>
      <w:hyperlink w:anchor="fig:sar-gslc-example-fig1b">
        <w:r>
          <w:rPr>
            <w:rStyle w:val="Hyperlink"/>
          </w:rPr>
          <w:t xml:space="preserve">2</w:t>
        </w:r>
      </w:hyperlink>
    </w:p>
    <w:bookmarkEnd w:id="333"/>
    <w:p>
      <w:pPr>
        <w:pStyle w:val="Textkrper"/>
      </w:pPr>
      <w:r>
        <w:t xml:space="preserve">Some advanced GSLC product can be provided with “Radar Unit Look Vector Grid Image” per-pixel metadata (Figures </w:t>
      </w:r>
      <w:hyperlink w:anchor="fig:sar-gslc-example-fig2a">
        <w:r>
          <w:rPr>
            <w:rStyle w:val="Hyperlink"/>
          </w:rPr>
          <w:t xml:space="preserve">5</w:t>
        </w:r>
      </w:hyperlink>
      <w:r>
        <w:t xml:space="preserve">-</w:t>
      </w:r>
      <w:hyperlink w:anchor="fig:sar-gslc-example-fig2c">
        <w:r>
          <w:rPr>
            <w:rStyle w:val="Hyperlink"/>
          </w:rPr>
          <w:t xml:space="preserve">7</w:t>
        </w:r>
      </w:hyperlink>
      <w:r>
        <w:t xml:space="preserve">) which gives the accurate 3-D components radar unit look vector used as for example in decomposing the vertical and horizontal component of an InSAR surface displacement estimate.</w:t>
      </w:r>
    </w:p>
    <w:p>
      <w:pPr>
        <w:pStyle w:val="Textkrper"/>
      </w:pPr>
      <w:r>
        <w:t xml:space="preserve">The following figures show 3-D components radar unit look vector of the GSLC product:</w:t>
      </w:r>
    </w:p>
    <w:bookmarkStart w:id="337" w:name="fig:sar-gslc-example-fig2a"/>
    <w:p>
      <w:pPr>
        <w:pStyle w:val="CaptionedFigure"/>
      </w:pPr>
      <w:r>
        <w:drawing>
          <wp:inline>
            <wp:extent cx="3810000" cy="2540000"/>
            <wp:effectExtent b="0" l="0" r="0" t="0"/>
            <wp:docPr descr="Figure 5: x unit component" title="" id="335" name="Picture"/>
            <a:graphic>
              <a:graphicData uri="http://schemas.openxmlformats.org/drawingml/2006/picture">
                <pic:pic>
                  <pic:nvPicPr>
                    <pic:cNvPr descr="assets/sar-gslc-example/S1-GSLC-x-component.png" id="336" name="Picture"/>
                    <pic:cNvPicPr>
                      <a:picLocks noChangeArrowheads="1" noChangeAspect="1"/>
                    </pic:cNvPicPr>
                  </pic:nvPicPr>
                  <pic:blipFill>
                    <a:blip r:embed="rId334"/>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5: x unit component</w:t>
      </w:r>
    </w:p>
    <w:bookmarkEnd w:id="337"/>
    <w:bookmarkStart w:id="341" w:name="fig:sar-gslc-example-fig2b"/>
    <w:p>
      <w:pPr>
        <w:pStyle w:val="CaptionedFigure"/>
      </w:pPr>
      <w:r>
        <w:drawing>
          <wp:inline>
            <wp:extent cx="3810000" cy="2540000"/>
            <wp:effectExtent b="0" l="0" r="0" t="0"/>
            <wp:docPr descr="Figure 6: y unit component" title="" id="339" name="Picture"/>
            <a:graphic>
              <a:graphicData uri="http://schemas.openxmlformats.org/drawingml/2006/picture">
                <pic:pic>
                  <pic:nvPicPr>
                    <pic:cNvPr descr="assets/sar-gslc-example/S1-GSLC-y-component.png" id="340" name="Picture"/>
                    <pic:cNvPicPr>
                      <a:picLocks noChangeArrowheads="1" noChangeAspect="1"/>
                    </pic:cNvPicPr>
                  </pic:nvPicPr>
                  <pic:blipFill>
                    <a:blip r:embed="rId338"/>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6: y unit component</w:t>
      </w:r>
    </w:p>
    <w:bookmarkEnd w:id="341"/>
    <w:bookmarkStart w:id="345" w:name="fig:sar-gslc-example-fig2c"/>
    <w:p>
      <w:pPr>
        <w:pStyle w:val="CaptionedFigure"/>
      </w:pPr>
      <w:r>
        <w:drawing>
          <wp:inline>
            <wp:extent cx="3810000" cy="2540000"/>
            <wp:effectExtent b="0" l="0" r="0" t="0"/>
            <wp:docPr descr="Figure 7: z unit component" title="" id="343" name="Picture"/>
            <a:graphic>
              <a:graphicData uri="http://schemas.openxmlformats.org/drawingml/2006/picture">
                <pic:pic>
                  <pic:nvPicPr>
                    <pic:cNvPr descr="assets/sar-gslc-example/S1-GSLC-z-component.png" id="344" name="Picture"/>
                    <pic:cNvPicPr>
                      <a:picLocks noChangeArrowheads="1" noChangeAspect="1"/>
                    </pic:cNvPicPr>
                  </pic:nvPicPr>
                  <pic:blipFill>
                    <a:blip r:embed="rId342"/>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7: z unit component</w:t>
      </w:r>
    </w:p>
    <w:bookmarkEnd w:id="345"/>
    <w:bookmarkEnd w:id="346"/>
    <w:bookmarkEnd w:id="347"/>
    <w:bookmarkEnd w:id="348"/>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1"/>
  </w:num>
  <w:num w:numId="1057">
    <w:abstractNumId w:val="991"/>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1"/>
  </w:num>
  <w:num w:numId="1073">
    <w:abstractNumId w:val="991"/>
  </w:num>
  <w:num w:numId="1074">
    <w:abstractNumId w:val="991"/>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1"/>
  </w:num>
  <w:num w:numId="1080">
    <w:abstractNumId w:val="991"/>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1"/>
  </w:num>
  <w:num w:numId="1092">
    <w:abstractNumId w:val="991"/>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1"/>
  </w:num>
  <w:num w:numId="1097">
    <w:abstractNumId w:val="991"/>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1"/>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7">
    <w:abstractNumId w:val="991"/>
  </w:num>
  <w:num w:numId="1108">
    <w:abstractNumId w:val="991"/>
  </w:num>
  <w:num w:numId="1109">
    <w:abstractNumId w:val="991"/>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image" Id="rId334" Target="media/rId334.png" /><Relationship Type="http://schemas.openxmlformats.org/officeDocument/2006/relationships/image" Id="rId338" Target="media/rId338.png" /><Relationship Type="http://schemas.openxmlformats.org/officeDocument/2006/relationships/image" Id="rId342" Target="media/rId342.png" /><Relationship Type="http://schemas.openxmlformats.org/officeDocument/2006/relationships/image" Id="rId318" Target="media/rId318.jpg" /><Relationship Type="http://schemas.openxmlformats.org/officeDocument/2006/relationships/image" Id="rId322" Target="media/rId322.jpg" /><Relationship Type="http://schemas.openxmlformats.org/officeDocument/2006/relationships/image" Id="rId326" Target="media/rId326.png" /><Relationship Type="http://schemas.openxmlformats.org/officeDocument/2006/relationships/image" Id="rId330" Target="media/rId330.png" /><Relationship Type="http://schemas.openxmlformats.org/officeDocument/2006/relationships/hyperlink" Id="rId26" Target="https://ceos.org/ard" TargetMode="External" /><Relationship Type="http://schemas.openxmlformats.org/officeDocument/2006/relationships/hyperlink" Id="rId278"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97" Target="https://doi.org/10.1109/JSTARS.2017.2697861" TargetMode="External" /><Relationship Type="http://schemas.openxmlformats.org/officeDocument/2006/relationships/hyperlink" Id="rId293" Target="https://doi.org/10.1109/LGRS.2017.2753580" TargetMode="External" /><Relationship Type="http://schemas.openxmlformats.org/officeDocument/2006/relationships/hyperlink" Id="rId287" Target="https://doi.org/10.1109/TGRS.2008.2002881" TargetMode="External" /><Relationship Type="http://schemas.openxmlformats.org/officeDocument/2006/relationships/hyperlink" Id="rId295" Target="https://doi.org/10.1109/TGRS.2010.2051333" TargetMode="External" /><Relationship Type="http://schemas.openxmlformats.org/officeDocument/2006/relationships/hyperlink" Id="rId291" Target="https://doi.org/10.1109/TGRS.2011.2120616" TargetMode="External" /><Relationship Type="http://schemas.openxmlformats.org/officeDocument/2006/relationships/hyperlink" Id="rId289" Target="https://doi.org/10.1109/TGRS.2022.3147472" TargetMode="External" /><Relationship Type="http://schemas.openxmlformats.org/officeDocument/2006/relationships/hyperlink" Id="rId283"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78"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97" Target="https://doi.org/10.1109/JSTARS.2017.2697861" TargetMode="External" /><Relationship Type="http://schemas.openxmlformats.org/officeDocument/2006/relationships/hyperlink" Id="rId293" Target="https://doi.org/10.1109/LGRS.2017.2753580" TargetMode="External" /><Relationship Type="http://schemas.openxmlformats.org/officeDocument/2006/relationships/hyperlink" Id="rId287" Target="https://doi.org/10.1109/TGRS.2008.2002881" TargetMode="External" /><Relationship Type="http://schemas.openxmlformats.org/officeDocument/2006/relationships/hyperlink" Id="rId295" Target="https://doi.org/10.1109/TGRS.2010.2051333" TargetMode="External" /><Relationship Type="http://schemas.openxmlformats.org/officeDocument/2006/relationships/hyperlink" Id="rId291" Target="https://doi.org/10.1109/TGRS.2011.2120616" TargetMode="External" /><Relationship Type="http://schemas.openxmlformats.org/officeDocument/2006/relationships/hyperlink" Id="rId289" Target="https://doi.org/10.1109/TGRS.2022.3147472" TargetMode="External" /><Relationship Type="http://schemas.openxmlformats.org/officeDocument/2006/relationships/hyperlink" Id="rId283"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Geocoded Single-Look Complex - Version 2.0.0-draft</dc:title>
  <dc:creator/>
  <dc:language>en</dc:language>
  <cp:keywords/>
  <dcterms:created xsi:type="dcterms:W3CDTF">2026-09-15T18:50:46Z</dcterms:created>
  <dcterms:modified xsi:type="dcterms:W3CDTF">2026-09-15T18:50:46Z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/home/runner/work/ceos-ard/ceos-ard/build/GSLC.bib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