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6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69" w:name="X9b20ef23e5e6eaa47fcb59c2ebc6b86fde52055"/>
    <w:p>
      <w:pPr>
        <w:pStyle w:val="berschrift1"/>
      </w:pPr>
      <w:r>
        <w:t xml:space="preserve">CEOS-ARD - Synthetic Aperture Radar - Composite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Composite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3" w:name="document-history"/>
    <w:p>
      <w:pPr>
        <w:pStyle w:val="berschrift2"/>
      </w:pPr>
      <w:r>
        <w:t xml:space="preserve">Document History</w:t>
      </w:r>
    </w:p>
    <w:bookmarkStart w:id="30" w:name="patch"/>
    <w:p>
      <w:pPr>
        <w:pStyle w:val="berschrift3"/>
      </w:pPr>
      <w:r>
        <w:t xml:space="preserve">2026-07-19 (PATCH)</w:t>
      </w:r>
    </w:p>
    <w:p>
      <w:pPr>
        <w:pStyle w:val="Compact"/>
        <w:numPr>
          <w:ilvl w:val="0"/>
          <w:numId w:val="1001"/>
        </w:numPr>
      </w:pPr>
      <w:r>
        <w:t xml:space="preserve">Fixed the file format specifications/contents for the requirement</w:t>
      </w:r>
      <w:r>
        <w:t xml:space="preserve"> </w:t>
      </w:r>
      <w:r>
        <w:t xml:space="preserve">“Contributing Observations Image”</w:t>
      </w:r>
    </w:p>
    <w:p>
      <w:pPr>
        <w:pStyle w:val="Compact"/>
        <w:numPr>
          <w:ilvl w:val="0"/>
          <w:numId w:val="1001"/>
        </w:numPr>
      </w:pPr>
      <w:r>
        <w:t xml:space="preserve">Annex (CB Example): Introductory paragraph added.</w:t>
      </w:r>
    </w:p>
    <w:p>
      <w:pPr>
        <w:pStyle w:val="FirstParagraph"/>
      </w:pPr>
      <w:r>
        <w:rPr>
          <w:b/>
          <w:bCs/>
        </w:rPr>
        <w:t xml:space="preserve">Justification:</w:t>
      </w:r>
      <w:r>
        <w:t xml:space="preserve"> </w:t>
      </w:r>
      <w:r>
        <w:t xml:space="preserve">Text incorrectly copied from other requirements; clarifications to the Annex.</w:t>
      </w:r>
    </w:p>
    <w:p>
      <w:pPr>
        <w:pStyle w:val="Textkrper"/>
      </w:pPr>
      <w:r>
        <w:rPr>
          <w:b/>
          <w:bCs/>
        </w:rPr>
        <w:t xml:space="preserve">Editor:</w:t>
      </w:r>
      <w:r>
        <w:t xml:space="preserve"> </w:t>
      </w:r>
      <w:r>
        <w:t xml:space="preserve">Ake Rosenqvist</w:t>
      </w:r>
    </w:p>
    <w:bookmarkEnd w:id="30"/>
    <w:bookmarkStart w:id="32" w:name="minor"/>
    <w:p>
      <w:pPr>
        <w:pStyle w:val="berschrift3"/>
      </w:pPr>
      <w:r>
        <w:t xml:space="preserve">2026-07-20 (MINOR)</w:t>
      </w:r>
    </w:p>
    <w:p>
      <w:pPr>
        <w:pStyle w:val="Compact"/>
        <w:numPr>
          <w:ilvl w:val="0"/>
          <w:numId w:val="1002"/>
        </w:numPr>
      </w:pPr>
      <w:r>
        <w:t xml:space="preserve">The Combined SAR PFS has been split into separate PFS per product type</w:t>
      </w:r>
    </w:p>
    <w:p>
      <w:pPr>
        <w:pStyle w:val="Compact"/>
        <w:numPr>
          <w:ilvl w:val="0"/>
          <w:numId w:val="1002"/>
        </w:numPr>
      </w:pPr>
      <w:r>
        <w:t xml:space="preserve">Restructured the document; various minor editorial changes; removed empty, irrelevant, or unused parts - many of the changes resulted from the split</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Moved the Background paragraph about the commonalities and differences in the SAR PFSes to the Introduction</w:t>
      </w:r>
    </w:p>
    <w:p>
      <w:pPr>
        <w:pStyle w:val="Compact"/>
        <w:numPr>
          <w:ilvl w:val="0"/>
          <w:numId w:val="1002"/>
        </w:numPr>
      </w:pPr>
      <w:r>
        <w:t xml:space="preserve">Requirement</w:t>
      </w:r>
      <w:r>
        <w:t xml:space="preserve"> </w:t>
      </w:r>
      <w:r>
        <w:t xml:space="preserve">“Document identifier”</w:t>
      </w:r>
      <w:r>
        <w:t xml:space="preserve">: Removed the trailing “for Synthetic Aperture Radar”</w:t>
      </w:r>
    </w:p>
    <w:p>
      <w:pPr>
        <w:pStyle w:val="Compact"/>
        <w:numPr>
          <w:ilvl w:val="0"/>
          <w:numId w:val="1002"/>
        </w:numPr>
      </w:pPr>
      <w:r>
        <w:t xml:space="preserve">Requirement</w:t>
      </w:r>
      <w:r>
        <w:t xml:space="preserve"> </w:t>
      </w:r>
      <w:r>
        <w:t xml:space="preserve">“Contributing Observations Image”</w:t>
      </w:r>
      <w:r>
        <w:t xml:space="preserve">:</w:t>
      </w:r>
    </w:p>
    <w:p>
      <w:pPr>
        <w:pStyle w:val="Compact"/>
        <w:numPr>
          <w:ilvl w:val="0"/>
          <w:numId w:val="1002"/>
        </w:numPr>
      </w:pPr>
      <w:r>
        <w:t xml:space="preserve">Requirements</w:t>
      </w:r>
      <w:r>
        <w:t xml:space="preserve"> </w:t>
      </w:r>
      <w:r>
        <w:t xml:space="preserve">“Geometric Accuracy”</w:t>
      </w:r>
      <w:r>
        <w:t xml:space="preserve"> </w:t>
      </w:r>
      <w:r>
        <w:t xml:space="preserve">and</w:t>
      </w:r>
      <w:r>
        <w:t xml:space="preserve"> </w:t>
      </w:r>
      <w:r>
        <w:t xml:space="preserve">“Geometric Refined Accuracy”</w:t>
      </w:r>
      <w:r>
        <w:t xml:space="preserve">: Replaced</w:t>
      </w:r>
      <w:r>
        <w:t xml:space="preserve"> </w:t>
      </w:r>
      <w:r>
        <w:t xml:space="preserve">“For [CB] products”</w:t>
      </w:r>
      <w:r>
        <w:t xml:space="preserve"> </w:t>
      </w:r>
      <w:r>
        <w:t xml:space="preserve">with</w:t>
      </w:r>
      <w:r>
        <w:t xml:space="preserve"> </w:t>
      </w:r>
      <w:r>
        <w:t xml:space="preserve">“For composite products”</w:t>
      </w:r>
    </w:p>
    <w:p>
      <w:pPr>
        <w:pStyle w:val="Compact"/>
        <w:numPr>
          <w:ilvl w:val="0"/>
          <w:numId w:val="1002"/>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2"/>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2"/>
        </w:numPr>
      </w:pPr>
      <w:r>
        <w:t xml:space="preserve">The subcategories for Source and Product metadata have been flattened into top-level categories</w:t>
      </w:r>
    </w:p>
    <w:p>
      <w:pPr>
        <w:pStyle w:val="Compact"/>
        <w:numPr>
          <w:ilvl w:val="0"/>
          <w:numId w:val="1002"/>
        </w:numPr>
      </w:pPr>
      <w:r>
        <w:t xml:space="preserve">Annex has been reformatted and updated as required by the split</w:t>
      </w:r>
    </w:p>
    <w:p>
      <w:pPr>
        <w:pStyle w:val="Compact"/>
        <w:numPr>
          <w:ilvl w:val="0"/>
          <w:numId w:val="1002"/>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1">
        <w:r>
          <w:rPr>
            <w:rStyle w:val="Hyperlink"/>
          </w:rPr>
          <w:t xml:space="preserve">CEOS-ARD for SAR PFS v1.3.1</w:t>
        </w:r>
      </w:hyperlink>
      <w:r>
        <w:t xml:space="preserve"> </w:t>
      </w:r>
      <w:r>
        <w:t xml:space="preserve">for product type</w:t>
      </w:r>
      <w:r>
        <w:t xml:space="preserve"> </w:t>
      </w:r>
      <w:r>
        <w:rPr>
          <w:b/>
          <w:bCs/>
        </w:rPr>
        <w:t xml:space="preserve">Composite Backscatter (CB)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2"/>
    <w:bookmarkEnd w:id="33"/>
    <w:bookmarkStart w:id="34" w:name="contributing-authors"/>
    <w:p>
      <w:pPr>
        <w:pStyle w:val="berschrift2"/>
      </w:pPr>
      <w:r>
        <w:t xml:space="preserve">Contributing Authors</w:t>
      </w:r>
    </w:p>
    <w:p>
      <w:pPr>
        <w:pStyle w:val="Compact"/>
        <w:numPr>
          <w:ilvl w:val="0"/>
          <w:numId w:val="1003"/>
        </w:numPr>
      </w:pPr>
      <w:r>
        <w:t xml:space="preserve">François Charbonneau, Natural Resources Canada, Canada</w:t>
      </w:r>
    </w:p>
    <w:p>
      <w:pPr>
        <w:pStyle w:val="Compact"/>
        <w:numPr>
          <w:ilvl w:val="0"/>
          <w:numId w:val="1003"/>
        </w:numPr>
      </w:pPr>
      <w:r>
        <w:t xml:space="preserve">Ake Rosenqvist, soloEO / Japan Aerospace Exploration Agency, Japan</w:t>
      </w:r>
    </w:p>
    <w:p>
      <w:pPr>
        <w:pStyle w:val="Compact"/>
        <w:numPr>
          <w:ilvl w:val="0"/>
          <w:numId w:val="1003"/>
        </w:numPr>
      </w:pPr>
      <w:r>
        <w:t xml:space="preserve">John Truckenbrodt, German Aerospace Centre (DLR), Germany</w:t>
      </w:r>
    </w:p>
    <w:p>
      <w:pPr>
        <w:pStyle w:val="Compact"/>
        <w:numPr>
          <w:ilvl w:val="0"/>
          <w:numId w:val="1003"/>
        </w:numPr>
      </w:pPr>
      <w:r>
        <w:t xml:space="preserve">Clément Albinet, European Space Agency (ESA), Italy</w:t>
      </w:r>
    </w:p>
    <w:p>
      <w:pPr>
        <w:pStyle w:val="Compact"/>
        <w:numPr>
          <w:ilvl w:val="0"/>
          <w:numId w:val="1003"/>
        </w:numPr>
      </w:pPr>
      <w:r>
        <w:t xml:space="preserve">David Small, University of Zurich, Switzerland</w:t>
      </w:r>
    </w:p>
    <w:p>
      <w:pPr>
        <w:pStyle w:val="Compact"/>
        <w:numPr>
          <w:ilvl w:val="0"/>
          <w:numId w:val="1003"/>
        </w:numPr>
      </w:pPr>
      <w:r>
        <w:t xml:space="preserve">Bruce Chapman, Jet Propulsion Laboratory, USA</w:t>
      </w:r>
    </w:p>
    <w:p>
      <w:pPr>
        <w:pStyle w:val="Compact"/>
        <w:numPr>
          <w:ilvl w:val="0"/>
          <w:numId w:val="1003"/>
        </w:numPr>
      </w:pPr>
      <w:r>
        <w:t xml:space="preserve">Howard Zebker, Stanford University, USA</w:t>
      </w:r>
    </w:p>
    <w:p>
      <w:pPr>
        <w:pStyle w:val="Compact"/>
        <w:numPr>
          <w:ilvl w:val="0"/>
          <w:numId w:val="1003"/>
        </w:numPr>
      </w:pPr>
      <w:r>
        <w:t xml:space="preserve">Zheng-Shu Zhou, CSIRO, Australia</w:t>
      </w:r>
    </w:p>
    <w:p>
      <w:pPr>
        <w:pStyle w:val="Compact"/>
        <w:numPr>
          <w:ilvl w:val="0"/>
          <w:numId w:val="1003"/>
        </w:numPr>
      </w:pPr>
      <w:r>
        <w:t xml:space="preserve">Kimberlee Baldry, Geoscience Australia, Australia</w:t>
      </w:r>
    </w:p>
    <w:p>
      <w:pPr>
        <w:pStyle w:val="Compact"/>
        <w:numPr>
          <w:ilvl w:val="0"/>
          <w:numId w:val="1003"/>
        </w:numPr>
      </w:pPr>
      <w:r>
        <w:t xml:space="preserve">David Bekaert, Jet Propulsion Laboratory, USA</w:t>
      </w:r>
    </w:p>
    <w:p>
      <w:pPr>
        <w:pStyle w:val="Compact"/>
        <w:numPr>
          <w:ilvl w:val="0"/>
          <w:numId w:val="1003"/>
        </w:numPr>
      </w:pPr>
      <w:r>
        <w:t xml:space="preserve">Virginia Brancato, Jet Propulsion Laboratory, USA</w:t>
      </w:r>
    </w:p>
    <w:p>
      <w:pPr>
        <w:pStyle w:val="Compact"/>
        <w:numPr>
          <w:ilvl w:val="0"/>
          <w:numId w:val="1003"/>
        </w:numPr>
      </w:pPr>
      <w:r>
        <w:t xml:space="preserve">Danilo Dadamia, CONAE, Argentina</w:t>
      </w:r>
    </w:p>
    <w:p>
      <w:pPr>
        <w:pStyle w:val="Compact"/>
        <w:numPr>
          <w:ilvl w:val="0"/>
          <w:numId w:val="1003"/>
        </w:numPr>
      </w:pPr>
      <w:r>
        <w:t xml:space="preserve">Benjamin Deschamps, Environment and Climate Change, Canada</w:t>
      </w:r>
    </w:p>
    <w:p>
      <w:pPr>
        <w:pStyle w:val="Compact"/>
        <w:numPr>
          <w:ilvl w:val="0"/>
          <w:numId w:val="1003"/>
        </w:numPr>
      </w:pPr>
      <w:r>
        <w:t xml:space="preserve">Matt Garthwaite, CSIRO, Australia</w:t>
      </w:r>
    </w:p>
    <w:p>
      <w:pPr>
        <w:pStyle w:val="Compact"/>
        <w:numPr>
          <w:ilvl w:val="0"/>
          <w:numId w:val="1003"/>
        </w:numPr>
      </w:pPr>
      <w:r>
        <w:t xml:space="preserve">Guillaume Hajduch, Collecte Localisation Satellites, France</w:t>
      </w:r>
    </w:p>
    <w:p>
      <w:pPr>
        <w:pStyle w:val="Compact"/>
        <w:numPr>
          <w:ilvl w:val="0"/>
          <w:numId w:val="1003"/>
        </w:numPr>
      </w:pPr>
      <w:r>
        <w:t xml:space="preserve">Jayasri Poludasu, ISRO, India</w:t>
      </w:r>
    </w:p>
    <w:p>
      <w:pPr>
        <w:pStyle w:val="Compact"/>
        <w:numPr>
          <w:ilvl w:val="0"/>
          <w:numId w:val="1003"/>
        </w:numPr>
      </w:pPr>
      <w:r>
        <w:t xml:space="preserve">Josef Kellndorfer, Earth Big Data, USA</w:t>
      </w:r>
    </w:p>
    <w:p>
      <w:pPr>
        <w:pStyle w:val="Compact"/>
        <w:numPr>
          <w:ilvl w:val="0"/>
          <w:numId w:val="1003"/>
        </w:numPr>
      </w:pPr>
      <w:r>
        <w:t xml:space="preserve">Joseph Kennedy, Alaska Satellite Facility, USA</w:t>
      </w:r>
    </w:p>
    <w:p>
      <w:pPr>
        <w:pStyle w:val="Compact"/>
        <w:numPr>
          <w:ilvl w:val="0"/>
          <w:numId w:val="1003"/>
        </w:numPr>
      </w:pPr>
      <w:r>
        <w:t xml:space="preserve">Marco Lavalle, Jet Propulsion Laboratory, USA</w:t>
      </w:r>
    </w:p>
    <w:p>
      <w:pPr>
        <w:pStyle w:val="Compact"/>
        <w:numPr>
          <w:ilvl w:val="0"/>
          <w:numId w:val="1003"/>
        </w:numPr>
      </w:pPr>
      <w:r>
        <w:t xml:space="preserve">Thomas Logan, Alaska Satellite Facility, USA</w:t>
      </w:r>
    </w:p>
    <w:p>
      <w:pPr>
        <w:pStyle w:val="Compact"/>
        <w:numPr>
          <w:ilvl w:val="0"/>
          <w:numId w:val="1003"/>
        </w:numPr>
      </w:pPr>
      <w:r>
        <w:t xml:space="preserve">Franz Meyer, Alaska Satellite Facility, USA</w:t>
      </w:r>
    </w:p>
    <w:p>
      <w:pPr>
        <w:pStyle w:val="Compact"/>
        <w:numPr>
          <w:ilvl w:val="0"/>
          <w:numId w:val="1003"/>
        </w:numPr>
      </w:pPr>
      <w:r>
        <w:t xml:space="preserve">Nuno Miranda, European Space Agency (ESA), Italy</w:t>
      </w:r>
    </w:p>
    <w:p>
      <w:pPr>
        <w:pStyle w:val="Compact"/>
        <w:numPr>
          <w:ilvl w:val="0"/>
          <w:numId w:val="1003"/>
        </w:numPr>
      </w:pPr>
      <w:r>
        <w:t xml:space="preserve">Matthias Mohr, moreGeo GmbH, Germany</w:t>
      </w:r>
    </w:p>
    <w:p>
      <w:pPr>
        <w:pStyle w:val="Compact"/>
        <w:numPr>
          <w:ilvl w:val="0"/>
          <w:numId w:val="1003"/>
        </w:numPr>
      </w:pPr>
      <w:r>
        <w:t xml:space="preserve">Muriel Pinheiro, European Space Agency (ESA), Italy</w:t>
      </w:r>
    </w:p>
    <w:p>
      <w:pPr>
        <w:pStyle w:val="Compact"/>
        <w:numPr>
          <w:ilvl w:val="0"/>
          <w:numId w:val="1003"/>
        </w:numPr>
      </w:pPr>
      <w:r>
        <w:t xml:space="preserve">Marko Repse, Sinergise, Slovenia</w:t>
      </w:r>
    </w:p>
    <w:p>
      <w:pPr>
        <w:pStyle w:val="Compact"/>
        <w:numPr>
          <w:ilvl w:val="0"/>
          <w:numId w:val="1003"/>
        </w:numPr>
      </w:pPr>
      <w:r>
        <w:t xml:space="preserve">HariPriya Sakethapuram, ISRO, India</w:t>
      </w:r>
    </w:p>
    <w:p>
      <w:pPr>
        <w:pStyle w:val="Compact"/>
        <w:numPr>
          <w:ilvl w:val="0"/>
          <w:numId w:val="1003"/>
        </w:numPr>
      </w:pPr>
      <w:r>
        <w:t xml:space="preserve">Gustavo H. X. Shiroma, Jet Propulsion Laboratory, USA</w:t>
      </w:r>
    </w:p>
    <w:p>
      <w:pPr>
        <w:pStyle w:val="Compact"/>
        <w:numPr>
          <w:ilvl w:val="0"/>
          <w:numId w:val="1003"/>
        </w:numPr>
      </w:pPr>
      <w:r>
        <w:t xml:space="preserve">Usha Sundari, ISRO, India</w:t>
      </w:r>
    </w:p>
    <w:p>
      <w:pPr>
        <w:pStyle w:val="Compact"/>
        <w:numPr>
          <w:ilvl w:val="0"/>
          <w:numId w:val="1003"/>
        </w:numPr>
      </w:pPr>
      <w:r>
        <w:t xml:space="preserve">Andreia Siqueira, Geoscience Australia, Australia</w:t>
      </w:r>
    </w:p>
    <w:p>
      <w:pPr>
        <w:pStyle w:val="Compact"/>
        <w:numPr>
          <w:ilvl w:val="0"/>
          <w:numId w:val="1003"/>
        </w:numPr>
      </w:pPr>
      <w:r>
        <w:t xml:space="preserve">Scott Staniewicz, Jet Propulsion Laboratory, USA</w:t>
      </w:r>
    </w:p>
    <w:p>
      <w:pPr>
        <w:pStyle w:val="Compact"/>
        <w:numPr>
          <w:ilvl w:val="0"/>
          <w:numId w:val="1003"/>
        </w:numPr>
      </w:pPr>
      <w:r>
        <w:t xml:space="preserve">Takeo Tadono, Japan Aerospace Exploration Agency, Japan</w:t>
      </w:r>
    </w:p>
    <w:p>
      <w:pPr>
        <w:pStyle w:val="Compact"/>
        <w:numPr>
          <w:ilvl w:val="0"/>
          <w:numId w:val="1003"/>
        </w:numPr>
      </w:pPr>
      <w:r>
        <w:t xml:space="preserve">Medhavy Thankappan, Geoscience Australia, Australia</w:t>
      </w:r>
    </w:p>
    <w:p>
      <w:pPr>
        <w:pStyle w:val="Compact"/>
        <w:numPr>
          <w:ilvl w:val="0"/>
          <w:numId w:val="1003"/>
        </w:numPr>
      </w:pPr>
      <w:r>
        <w:t xml:space="preserve">Antonio Valentino, Starion for European Space Agency (ESA), Italy</w:t>
      </w:r>
    </w:p>
    <w:p>
      <w:pPr>
        <w:pStyle w:val="Compact"/>
        <w:numPr>
          <w:ilvl w:val="0"/>
          <w:numId w:val="1003"/>
        </w:numPr>
      </w:pPr>
      <w:r>
        <w:t xml:space="preserve">Anna Wendleder, German Aerospace Centre (DLR), Germany</w:t>
      </w:r>
    </w:p>
    <w:p>
      <w:pPr>
        <w:pStyle w:val="Compact"/>
        <w:numPr>
          <w:ilvl w:val="0"/>
          <w:numId w:val="1003"/>
        </w:numPr>
      </w:pPr>
      <w:r>
        <w:t xml:space="preserve">Fang Yuan, Digital Earth Africa, Australia</w:t>
      </w:r>
    </w:p>
    <w:p>
      <w:pPr>
        <w:pStyle w:val="Compact"/>
        <w:numPr>
          <w:ilvl w:val="0"/>
          <w:numId w:val="1003"/>
        </w:numPr>
      </w:pPr>
      <w:r>
        <w:t xml:space="preserve">Francesco De Zan, Delta-Phi Remote Sensing GmbH, Germany</w:t>
      </w:r>
    </w:p>
    <w:p>
      <w:r>
        <w:br w:type="page"/>
      </w:r>
    </w:p>
    <w:bookmarkEnd w:id="34"/>
    <w:bookmarkStart w:id="35"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5"/>
    <w:bookmarkStart w:id="36"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Composite Backscatter (CB)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6"/>
    <w:bookmarkStart w:id="37"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Composite Backscatter (CB) product is a composite backscatter product generated from a set of SAR images acquired over a time-window, and where each pixel value is derived from two or more of the input data sources (e.g. by local resolution weighting</w:t>
      </w:r>
      <w:r>
        <w:t xml:space="preserve"> </w:t>
      </w:r>
      <w:r>
        <w:t xml:space="preserve">(</w:t>
      </w:r>
      <w:hyperlink w:anchor="ref-small2022">
        <w:r>
          <w:rPr>
            <w:rStyle w:val="Hyperlink"/>
          </w:rPr>
          <w:t xml:space="preserve">Small et al. 2022</w:t>
        </w:r>
      </w:hyperlink>
      <w:r>
        <w:t xml:space="preserve">)</w:t>
      </w:r>
      <w:r>
        <w:t xml:space="preserve">).</w:t>
      </w:r>
      <w:r>
        <w:t xml:space="preserve"> </w:t>
      </w:r>
      <w:r>
        <w:t xml:space="preserve">Note the difference with respect to the basic mosaic products accommodated by NRB. CB datasets can be derived from a set of NRB or POL or GSLC inputs, making further use of those products’ backscatter estimates and scattering area per-pixel metadata that were used to normalise them.</w:t>
      </w:r>
      <w:r>
        <w:t xml:space="preserve"> </w:t>
      </w:r>
      <w:r>
        <w:t xml:space="preserve">The CB source image layers are arranged in a set of input products acquired within a defined time-window, and a single composite backscatter product is the output.</w:t>
      </w:r>
      <w:r>
        <w:t xml:space="preserve"> </w:t>
      </w:r>
      <w:r>
        <w:t xml:space="preserve">It may contain multiple channels (wavelengths, polarisations).</w:t>
      </w:r>
      <w:r>
        <w:t xml:space="preserve"> </w:t>
      </w:r>
      <w:r>
        <w:t xml:space="preserve">It is generally assumed that a single composite backscatter image layer will be generated from a set of inputs sharing a common polarisation and wavelength.</w:t>
      </w:r>
      <w:r>
        <w:t xml:space="preserve"> </w:t>
      </w:r>
      <w:r>
        <w:t xml:space="preserve">The set of input products can be either from a single satellite or mission, or even from multiple missions, given a high standard of geometric and radiometric calibration in all contributing missions.</w:t>
      </w:r>
      <w:r>
        <w:t xml:space="preserve"> </w:t>
      </w:r>
      <w:r>
        <w:t xml:space="preserve">Further quality per-pixel metadata may also be provided, such as (a) the</w:t>
      </w:r>
      <w:r>
        <w:t xml:space="preserve"> </w:t>
      </w:r>
      <w:hyperlink w:anchor="sec:pxl-conobi">
        <w:r>
          <w:rPr>
            <w:rStyle w:val="Hyperlink"/>
          </w:rPr>
          <w:t xml:space="preserve">Per-Pixel Metadata: Contributing Observations Image</w:t>
        </w:r>
      </w:hyperlink>
      <w:r>
        <w:t xml:space="preserve"> </w:t>
      </w:r>
      <w:r>
        <w:t xml:space="preserve">or (b)</w:t>
      </w:r>
      <w:r>
        <w:t xml:space="preserve"> </w:t>
      </w:r>
      <w:hyperlink w:anchor="sec:pxl-coquama">
        <w:r>
          <w:rPr>
            <w:rStyle w:val="Hyperlink"/>
          </w:rPr>
          <w:t xml:space="preserve">Per-Pixel Metadata: Composite Quality Map Image</w:t>
        </w:r>
      </w:hyperlink>
      <w:r>
        <w:t xml:space="preserve">.</w:t>
      </w:r>
    </w:p>
    <w:p>
      <w:r>
        <w:br w:type="page"/>
      </w:r>
    </w:p>
    <w:bookmarkEnd w:id="37"/>
    <w:bookmarkStart w:id="38"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GRD</w:t>
      </w:r>
    </w:p>
    <w:p>
      <w:pPr>
        <w:pStyle w:val="Definition"/>
      </w:pPr>
      <w:r>
        <w:t xml:space="preserve">Ground Range Detected, a SAR product type</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RGB</w:t>
      </w:r>
    </w:p>
    <w:p>
      <w:pPr>
        <w:pStyle w:val="Definition"/>
      </w:pPr>
      <w:r>
        <w:t xml:space="preserve">RGB is a color model in which red, green, and blue light are added together in various ways to reproduce a broad array of colors.</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8"/>
    <w:bookmarkStart w:id="22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9"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9" w:name="threshold-requirements"/>
    <w:p>
      <w:pPr>
        <w:pStyle w:val="berschrift5"/>
      </w:pPr>
      <w:r>
        <w:t xml:space="preserve">Threshold requirements:</w:t>
      </w:r>
    </w:p>
    <w:p>
      <w:pPr>
        <w:pStyle w:val="FirstParagraph"/>
      </w:pPr>
      <w:r>
        <w:t xml:space="preserve">Not required.</w:t>
      </w:r>
      <w:r>
        <w:t xml:space="preserve"> </w:t>
      </w:r>
    </w:p>
    <w:bookmarkEnd w:id="39"/>
    <w:bookmarkStart w:id="40"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4"/>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4"/>
        </w:numPr>
      </w:pPr>
      <w:r>
        <w:t xml:space="preserve">Information on traceability should be available in the metadata as a single DOI landing page.</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3"/>
    <w:bookmarkStart w:id="44"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7"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7"/>
    <w:bookmarkStart w:id="48" w:name="goal-requirements-2"/>
    <w:p>
      <w:pPr>
        <w:pStyle w:val="berschrift5"/>
      </w:pPr>
      <w:r>
        <w:t xml:space="preserve">Goal requirements:</w:t>
      </w:r>
    </w:p>
    <w:p>
      <w:pPr>
        <w:pStyle w:val="FirstParagraph"/>
      </w:pPr>
      <w:r>
        <w:t xml:space="preserve">As threshold.</w:t>
      </w:r>
      <w:r>
        <w:t xml:space="preserve"> </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1" w:name="threshold-requirements-3"/>
    <w:p>
      <w:pPr>
        <w:pStyle w:val="berschrift5"/>
      </w:pPr>
      <w:r>
        <w:t xml:space="preserve">Threshold requirements:</w:t>
      </w:r>
    </w:p>
    <w:p>
      <w:pPr>
        <w:pStyle w:val="FirstParagraph"/>
      </w:pPr>
      <w:r>
        <w:t xml:space="preserve">Reference to CEOS-ARD PFS document as URL.</w:t>
      </w:r>
    </w:p>
    <w:bookmarkEnd w:id="51"/>
    <w:bookmarkStart w:id="52" w:name="goal-requirements-3"/>
    <w:p>
      <w:pPr>
        <w:pStyle w:val="berschrift5"/>
      </w:pPr>
      <w:r>
        <w:t xml:space="preserve">Goal requirements:</w:t>
      </w:r>
    </w:p>
    <w:p>
      <w:pPr>
        <w:pStyle w:val="FirstParagraph"/>
      </w:pPr>
      <w:r>
        <w:t xml:space="preserve">As threshold.</w:t>
      </w:r>
      <w:r>
        <w:t xml:space="preserve"> </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5"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5"/>
    <w:bookmarkStart w:id="56" w:name="goal-requirements-4"/>
    <w:p>
      <w:pPr>
        <w:pStyle w:val="berschrift5"/>
      </w:pPr>
      <w:r>
        <w:t xml:space="preserve">Goal requirements:</w:t>
      </w:r>
    </w:p>
    <w:p>
      <w:pPr>
        <w:pStyle w:val="FirstParagraph"/>
      </w:pPr>
      <w:r>
        <w:t xml:space="preserve">As threshold, but using ISO 8601 time format.</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bookmarkEnd w:id="57"/>
    <w:bookmarkEnd w:id="58"/>
    <w:bookmarkEnd w:id="59"/>
    <w:bookmarkStart w:id="105"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3"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60"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60"/>
    <w:bookmarkStart w:id="61" w:name="goal-requirements-5"/>
    <w:p>
      <w:pPr>
        <w:pStyle w:val="berschrift5"/>
      </w:pPr>
      <w:r>
        <w:t xml:space="preserve">Goal requirements:</w:t>
      </w:r>
    </w:p>
    <w:p>
      <w:pPr>
        <w:pStyle w:val="FirstParagraph"/>
      </w:pPr>
      <w:r>
        <w:t xml:space="preserve">As threshold.</w:t>
      </w:r>
      <w:r>
        <w:t xml:space="preserve"> </w:t>
      </w:r>
    </w:p>
    <w:bookmarkEnd w:id="61"/>
    <w:bookmarkStart w:id="62"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4"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4"/>
    <w:bookmarkStart w:id="65"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5"/>
    <w:bookmarkStart w:id="66"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6"/>
    <w:bookmarkEnd w:id="67"/>
    <w:bookmarkStart w:id="72"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8"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2"/>
        </w:numPr>
      </w:pPr>
      <w:r>
        <w:t xml:space="preserve">Satellite name</w:t>
      </w:r>
    </w:p>
    <w:p>
      <w:pPr>
        <w:pStyle w:val="Compact"/>
        <w:numPr>
          <w:ilvl w:val="0"/>
          <w:numId w:val="1012"/>
        </w:numPr>
      </w:pPr>
      <w:r>
        <w:t xml:space="preserve">Instrument name</w:t>
      </w:r>
    </w:p>
    <w:bookmarkEnd w:id="68"/>
    <w:bookmarkStart w:id="70" w:name="goal-requirements-7"/>
    <w:p>
      <w:pPr>
        <w:pStyle w:val="berschrift5"/>
      </w:pPr>
      <w:r>
        <w:t xml:space="preserve">Goal requirements:</w:t>
      </w:r>
    </w:p>
    <w:p>
      <w:pPr>
        <w:pStyle w:val="FirstParagraph"/>
      </w:pPr>
      <w:r>
        <w:t xml:space="preserve">As threshold, but using</w:t>
      </w:r>
      <w:r>
        <w:t xml:space="preserve"> </w:t>
      </w:r>
      <w:hyperlink r:id="rId69">
        <w:r>
          <w:rPr>
            <w:rStyle w:val="Hyperlink"/>
          </w:rPr>
          <w:t xml:space="preserve">CEOS Mission-Instruments-Measurements (MIM) database</w:t>
        </w:r>
      </w:hyperlink>
      <w:r>
        <w:t xml:space="preserve"> </w:t>
      </w:r>
      <w:r>
        <w:t xml:space="preserve">as reference.</w:t>
      </w:r>
    </w:p>
    <w:bookmarkEnd w:id="70"/>
    <w:bookmarkStart w:id="71"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3"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3"/>
    <w:bookmarkStart w:id="74" w:name="goal-requirements-8"/>
    <w:p>
      <w:pPr>
        <w:pStyle w:val="berschrift5"/>
      </w:pPr>
      <w:r>
        <w:t xml:space="preserve">Goal requirements:</w:t>
      </w:r>
    </w:p>
    <w:p>
      <w:pPr>
        <w:pStyle w:val="FirstParagraph"/>
      </w:pPr>
      <w:r>
        <w:t xml:space="preserve">As threshold.</w:t>
      </w:r>
      <w:r>
        <w:t xml:space="preserve"> </w:t>
      </w:r>
    </w:p>
    <w:bookmarkEnd w:id="74"/>
    <w:bookmarkStart w:id="75"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5"/>
    <w:bookmarkEnd w:id="76"/>
    <w:bookmarkStart w:id="80"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7"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5"/>
        </w:numPr>
      </w:pPr>
      <w:r>
        <w:t xml:space="preserve">Radar band</w:t>
      </w:r>
    </w:p>
    <w:p>
      <w:pPr>
        <w:pStyle w:val="Compact"/>
        <w:numPr>
          <w:ilvl w:val="0"/>
          <w:numId w:val="1015"/>
        </w:numPr>
      </w:pPr>
      <w:r>
        <w:t xml:space="preserve">Centre frequency</w:t>
      </w:r>
    </w:p>
    <w:p>
      <w:pPr>
        <w:pStyle w:val="Compact"/>
        <w:numPr>
          <w:ilvl w:val="0"/>
          <w:numId w:val="1015"/>
        </w:numPr>
      </w:pPr>
      <w:r>
        <w:t xml:space="preserve">Observation mode (i.e., beam mode name)</w:t>
      </w:r>
    </w:p>
    <w:p>
      <w:pPr>
        <w:pStyle w:val="Compact"/>
        <w:numPr>
          <w:ilvl w:val="0"/>
          <w:numId w:val="1015"/>
        </w:numPr>
      </w:pPr>
      <w:r>
        <w:t xml:space="preserve">Polarization(s) (listed as in original product)</w:t>
      </w:r>
    </w:p>
    <w:p>
      <w:pPr>
        <w:pStyle w:val="Compact"/>
        <w:numPr>
          <w:ilvl w:val="0"/>
          <w:numId w:val="1015"/>
        </w:numPr>
      </w:pPr>
      <w:r>
        <w:t xml:space="preserve">Antenna pointing (right/left)</w:t>
      </w:r>
    </w:p>
    <w:p>
      <w:pPr>
        <w:pStyle w:val="Compact"/>
        <w:numPr>
          <w:ilvl w:val="0"/>
          <w:numId w:val="1015"/>
        </w:numPr>
      </w:pPr>
      <w:r>
        <w:t xml:space="preserve">Beam ID (i.e., beam mode mnemonic)</w:t>
      </w:r>
    </w:p>
    <w:bookmarkEnd w:id="77"/>
    <w:bookmarkStart w:id="78" w:name="goal-requirements-9"/>
    <w:p>
      <w:pPr>
        <w:pStyle w:val="berschrift5"/>
      </w:pPr>
      <w:r>
        <w:t xml:space="preserve">Goal requirements:</w:t>
      </w:r>
    </w:p>
    <w:p>
      <w:pPr>
        <w:pStyle w:val="FirstParagraph"/>
      </w:pPr>
      <w:r>
        <w:t xml:space="preserve">As threshold.</w:t>
      </w:r>
      <w:r>
        <w:t xml:space="preserve"> </w:t>
      </w:r>
    </w:p>
    <w:bookmarkEnd w:id="78"/>
    <w:bookmarkStart w:id="79"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9"/>
    <w:bookmarkEnd w:id="80"/>
    <w:bookmarkStart w:id="84"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1"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7"/>
        </w:numPr>
      </w:pPr>
      <w:r>
        <w:t xml:space="preserve">Pass direction (asc/desc), see note</w:t>
      </w:r>
    </w:p>
    <w:p>
      <w:pPr>
        <w:pStyle w:val="Compact"/>
        <w:numPr>
          <w:ilvl w:val="0"/>
          <w:numId w:val="1017"/>
        </w:numPr>
      </w:pPr>
      <w:r>
        <w:t xml:space="preserve">Orbit data source (e.g., predicted, definite, precise, downlinked, etc.)</w:t>
      </w:r>
    </w:p>
    <w:p>
      <w:pPr>
        <w:pStyle w:val="FirstParagraph"/>
      </w:pPr>
      <w:r>
        <w:t xml:space="preserve">Note:</w:t>
      </w:r>
    </w:p>
    <w:p>
      <w:pPr>
        <w:pStyle w:val="Compact"/>
        <w:numPr>
          <w:ilvl w:val="0"/>
          <w:numId w:val="1018"/>
        </w:numPr>
      </w:pPr>
      <w:r>
        <w:t xml:space="preserve">For source data crossing the North or South Pole, it is recommended to produce two distinct CEOS-ARD products and to use the appropriate “Pass direction” in each.</w:t>
      </w:r>
    </w:p>
    <w:bookmarkEnd w:id="81"/>
    <w:bookmarkStart w:id="82" w:name="goal-requirements-10"/>
    <w:p>
      <w:pPr>
        <w:pStyle w:val="berschrift5"/>
      </w:pPr>
      <w:r>
        <w:t xml:space="preserve">Goal requirements:</w:t>
      </w:r>
    </w:p>
    <w:p>
      <w:pPr>
        <w:pStyle w:val="FirstParagraph"/>
      </w:pPr>
      <w:r>
        <w:t xml:space="preserve">As threshold, including also:</w:t>
      </w:r>
    </w:p>
    <w:p>
      <w:pPr>
        <w:pStyle w:val="Compact"/>
        <w:numPr>
          <w:ilvl w:val="0"/>
          <w:numId w:val="1019"/>
        </w:numPr>
      </w:pPr>
      <w:r>
        <w:t xml:space="preserve">Platform heading angle expressed in degrees (0-360) from North</w:t>
      </w:r>
    </w:p>
    <w:p>
      <w:pPr>
        <w:pStyle w:val="Compact"/>
        <w:numPr>
          <w:ilvl w:val="0"/>
          <w:numId w:val="1019"/>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9"/>
        </w:numPr>
      </w:pPr>
      <w:r>
        <w:t xml:space="preserve">Platform (mean) altitude</w:t>
      </w:r>
    </w:p>
    <w:p>
      <w:pPr>
        <w:pStyle w:val="Compact"/>
        <w:numPr>
          <w:ilvl w:val="0"/>
          <w:numId w:val="1019"/>
        </w:numPr>
      </w:pPr>
      <w:r>
        <w:t xml:space="preserve">Absolute orbit number</w:t>
      </w:r>
    </w:p>
    <w:p>
      <w:pPr>
        <w:pStyle w:val="Compact"/>
        <w:numPr>
          <w:ilvl w:val="0"/>
          <w:numId w:val="1019"/>
        </w:numPr>
      </w:pPr>
      <w:r>
        <w:t xml:space="preserve">Relative orbit number</w:t>
      </w:r>
    </w:p>
    <w:bookmarkEnd w:id="82"/>
    <w:bookmarkStart w:id="83" w:name="assessment-10"/>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3"/>
    <w:bookmarkEnd w:id="84"/>
    <w:bookmarkStart w:id="88"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5"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1"/>
        </w:numPr>
      </w:pPr>
      <w:r>
        <w:t xml:space="preserve">Processing facility</w:t>
      </w:r>
    </w:p>
    <w:p>
      <w:pPr>
        <w:pStyle w:val="Compact"/>
        <w:numPr>
          <w:ilvl w:val="0"/>
          <w:numId w:val="1021"/>
        </w:numPr>
      </w:pPr>
      <w:r>
        <w:t xml:space="preserve">Processing date</w:t>
      </w:r>
    </w:p>
    <w:p>
      <w:pPr>
        <w:pStyle w:val="Compact"/>
        <w:numPr>
          <w:ilvl w:val="0"/>
          <w:numId w:val="1021"/>
        </w:numPr>
      </w:pPr>
      <w:r>
        <w:t xml:space="preserve">Software version</w:t>
      </w:r>
    </w:p>
    <w:p>
      <w:pPr>
        <w:pStyle w:val="Compact"/>
        <w:numPr>
          <w:ilvl w:val="0"/>
          <w:numId w:val="1021"/>
        </w:numPr>
      </w:pPr>
      <w:r>
        <w:t xml:space="preserve">Product level</w:t>
      </w:r>
    </w:p>
    <w:p>
      <w:pPr>
        <w:pStyle w:val="Compact"/>
        <w:numPr>
          <w:ilvl w:val="0"/>
          <w:numId w:val="1021"/>
        </w:numPr>
      </w:pPr>
      <w:r>
        <w:t xml:space="preserve">Product ID (file name)</w:t>
      </w:r>
    </w:p>
    <w:p>
      <w:pPr>
        <w:pStyle w:val="Compact"/>
        <w:numPr>
          <w:ilvl w:val="0"/>
          <w:numId w:val="1021"/>
        </w:numPr>
      </w:pPr>
      <w:r>
        <w:t xml:space="preserve">Azimuth number of looks</w:t>
      </w:r>
    </w:p>
    <w:p>
      <w:pPr>
        <w:pStyle w:val="Compact"/>
        <w:numPr>
          <w:ilvl w:val="0"/>
          <w:numId w:val="1021"/>
        </w:numPr>
      </w:pPr>
      <w:r>
        <w:t xml:space="preserve">Range number of looks (separate values for each beam, as necessary)</w:t>
      </w:r>
    </w:p>
    <w:p>
      <w:pPr>
        <w:pStyle w:val="FirstParagraph"/>
      </w:pPr>
      <w:r>
        <w:t xml:space="preserve">Note:</w:t>
      </w:r>
    </w:p>
    <w:p>
      <w:pPr>
        <w:pStyle w:val="Compact"/>
        <w:numPr>
          <w:ilvl w:val="0"/>
          <w:numId w:val="1022"/>
        </w:numPr>
      </w:pPr>
      <w:r>
        <w:t xml:space="preserve">Azimuth and Range number of looks are not required when sources are CEOS-ARD or any other geocoded products</w:t>
      </w:r>
    </w:p>
    <w:bookmarkEnd w:id="85"/>
    <w:bookmarkStart w:id="86"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6"/>
    <w:bookmarkStart w:id="87" w:name="assessment-11"/>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87"/>
    <w:bookmarkEnd w:id="88"/>
    <w:bookmarkStart w:id="92"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9"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4"/>
        </w:numPr>
      </w:pPr>
      <w:r>
        <w:t xml:space="preserve">Source data geometry (slant range/ground range/geocoded)</w:t>
      </w:r>
    </w:p>
    <w:p>
      <w:pPr>
        <w:pStyle w:val="Compact"/>
        <w:numPr>
          <w:ilvl w:val="0"/>
          <w:numId w:val="1024"/>
        </w:numPr>
      </w:pPr>
      <w:r>
        <w:t xml:space="preserve">Azimuth pixel spacing [m] (alternatively, azimuth pixel spacing can be provided in second [s], equivalent to the azimuth time sample interval)</w:t>
      </w:r>
    </w:p>
    <w:p>
      <w:pPr>
        <w:pStyle w:val="Compact"/>
        <w:numPr>
          <w:ilvl w:val="0"/>
          <w:numId w:val="1024"/>
        </w:numPr>
      </w:pPr>
      <w:r>
        <w:t xml:space="preserve">Range pixel spacing</w:t>
      </w:r>
    </w:p>
    <w:p>
      <w:pPr>
        <w:pStyle w:val="Compact"/>
        <w:numPr>
          <w:ilvl w:val="0"/>
          <w:numId w:val="1024"/>
        </w:numPr>
      </w:pPr>
      <w:r>
        <w:t xml:space="preserve">Azimuth resolution</w:t>
      </w:r>
    </w:p>
    <w:p>
      <w:pPr>
        <w:pStyle w:val="Compact"/>
        <w:numPr>
          <w:ilvl w:val="0"/>
          <w:numId w:val="1024"/>
        </w:numPr>
      </w:pPr>
      <w:r>
        <w:t xml:space="preserve">Range resolution</w:t>
      </w:r>
    </w:p>
    <w:p>
      <w:pPr>
        <w:pStyle w:val="Compact"/>
        <w:numPr>
          <w:ilvl w:val="0"/>
          <w:numId w:val="1024"/>
        </w:numPr>
      </w:pPr>
      <w:r>
        <w:t xml:space="preserve">Near range incident angle</w:t>
      </w:r>
    </w:p>
    <w:p>
      <w:pPr>
        <w:pStyle w:val="Compact"/>
        <w:numPr>
          <w:ilvl w:val="0"/>
          <w:numId w:val="1024"/>
        </w:numPr>
      </w:pPr>
      <w:r>
        <w:t xml:space="preserve">Far range incident angle</w:t>
      </w:r>
    </w:p>
    <w:p>
      <w:pPr>
        <w:pStyle w:val="FirstParagraph"/>
      </w:pPr>
      <w:r>
        <w:t xml:space="preserve">Note:</w:t>
      </w:r>
    </w:p>
    <w:p>
      <w:pPr>
        <w:pStyle w:val="Compact"/>
        <w:numPr>
          <w:ilvl w:val="0"/>
          <w:numId w:val="1025"/>
        </w:numPr>
      </w:pPr>
      <w:r>
        <w:t xml:space="preserve">For geocoded sources such as GSLC and InSAR, Azimuth and Range pixel spacing are replaced by line (row) and pixel (column) spacing information. Spatial resolution information is not required for geocoded sources.</w:t>
      </w:r>
    </w:p>
    <w:bookmarkEnd w:id="89"/>
    <w:bookmarkStart w:id="90" w:name="goal-requirements-12"/>
    <w:p>
      <w:pPr>
        <w:pStyle w:val="berschrift5"/>
      </w:pPr>
      <w:r>
        <w:t xml:space="preserve">Goal requirements:</w:t>
      </w:r>
    </w:p>
    <w:p>
      <w:pPr>
        <w:pStyle w:val="FirstParagraph"/>
      </w:pPr>
      <w:r>
        <w:t xml:space="preserve">Geometry of the image footprint expressed in WGS84 in a standardised format (e.g., WKT).</w:t>
      </w:r>
    </w:p>
    <w:bookmarkEnd w:id="90"/>
    <w:bookmarkStart w:id="91" w:name="assessment-12"/>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1"/>
    <w:bookmarkEnd w:id="92"/>
    <w:bookmarkStart w:id="96" w:name="sec:src-perfind"/>
    <w:p>
      <w:pPr>
        <w:pStyle w:val="berschrift4"/>
      </w:pPr>
      <w:r>
        <w:rPr>
          <w:rStyle w:val="VerbatimChar"/>
        </w:rPr>
        <w:t xml:space="preserve">2.9.</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3" w:name="threshold-requirements-13"/>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3"/>
    <w:bookmarkStart w:id="94" w:name="goal-requirements-13"/>
    <w:p>
      <w:pPr>
        <w:pStyle w:val="berschrift5"/>
      </w:pPr>
      <w:r>
        <w:t xml:space="preserve">Goal requirements:</w:t>
      </w:r>
    </w:p>
    <w:p>
      <w:pPr>
        <w:pStyle w:val="FirstParagraph"/>
      </w:pPr>
      <w:r>
        <w:t xml:space="preserve">Provide additional relevant performance indicators (e.g., ENL, PSLR, ISLR, and performance reference DOI or URL).</w:t>
      </w:r>
    </w:p>
    <w:bookmarkEnd w:id="94"/>
    <w:bookmarkStart w:id="95" w:name="assessment-13"/>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5"/>
    <w:bookmarkEnd w:id="96"/>
    <w:bookmarkStart w:id="100" w:name="sec:src-polcalm"/>
    <w:p>
      <w:pPr>
        <w:pStyle w:val="berschrift4"/>
      </w:pPr>
      <w:r>
        <w:rPr>
          <w:rStyle w:val="VerbatimChar"/>
        </w:rPr>
        <w:t xml:space="preserve">2.10.</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97" w:name="threshold-requirements-14"/>
    <w:p>
      <w:pPr>
        <w:pStyle w:val="berschrift5"/>
      </w:pPr>
      <w:r>
        <w:t xml:space="preserve">Threshold requirements:</w:t>
      </w:r>
    </w:p>
    <w:p>
      <w:pPr>
        <w:pStyle w:val="FirstParagraph"/>
      </w:pPr>
      <w:r>
        <w:t xml:space="preserve">Not required.</w:t>
      </w:r>
      <w:r>
        <w:t xml:space="preserve"> </w:t>
      </w:r>
    </w:p>
    <w:bookmarkEnd w:id="97"/>
    <w:bookmarkStart w:id="98" w:name="goal-requirements-14"/>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98"/>
    <w:bookmarkStart w:id="99" w:name="assessment-14"/>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99"/>
    <w:bookmarkEnd w:id="100"/>
    <w:bookmarkStart w:id="104" w:name="sec:src-ionind"/>
    <w:p>
      <w:pPr>
        <w:pStyle w:val="berschrift4"/>
      </w:pPr>
      <w:r>
        <w:rPr>
          <w:rStyle w:val="VerbatimChar"/>
        </w:rPr>
        <w:t xml:space="preserve">2.11.</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1" w:name="threshold-requirements-15"/>
    <w:p>
      <w:pPr>
        <w:pStyle w:val="berschrift5"/>
      </w:pPr>
      <w:r>
        <w:t xml:space="preserve">Threshold requirements:</w:t>
      </w:r>
    </w:p>
    <w:p>
      <w:pPr>
        <w:pStyle w:val="FirstParagraph"/>
      </w:pPr>
      <w:r>
        <w:t xml:space="preserve">Not required.</w:t>
      </w:r>
      <w:r>
        <w:t xml:space="preserve"> </w:t>
      </w:r>
    </w:p>
    <w:bookmarkEnd w:id="101"/>
    <w:bookmarkStart w:id="102" w:name="goal-requirements-15"/>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2"/>
    <w:bookmarkStart w:id="103" w:name="assessment-15"/>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54"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09"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06" w:name="threshold-requirements-16"/>
    <w:p>
      <w:pPr>
        <w:pStyle w:val="berschrift5"/>
      </w:pPr>
      <w:r>
        <w:t xml:space="preserve">Threshold requirements:</w:t>
      </w:r>
    </w:p>
    <w:p>
      <w:pPr>
        <w:pStyle w:val="FirstParagraph"/>
      </w:pPr>
      <w:r>
        <w:t xml:space="preserve">Processing parameters details of the CEOS-ARD product:</w:t>
      </w:r>
    </w:p>
    <w:p>
      <w:pPr>
        <w:pStyle w:val="Compact"/>
        <w:numPr>
          <w:ilvl w:val="0"/>
          <w:numId w:val="1030"/>
        </w:numPr>
      </w:pPr>
      <w:r>
        <w:t xml:space="preserve">Processing facility</w:t>
      </w:r>
    </w:p>
    <w:p>
      <w:pPr>
        <w:pStyle w:val="Compact"/>
        <w:numPr>
          <w:ilvl w:val="0"/>
          <w:numId w:val="1030"/>
        </w:numPr>
      </w:pPr>
      <w:r>
        <w:t xml:space="preserve">Processing date</w:t>
      </w:r>
    </w:p>
    <w:p>
      <w:pPr>
        <w:pStyle w:val="Compact"/>
        <w:numPr>
          <w:ilvl w:val="0"/>
          <w:numId w:val="1030"/>
        </w:numPr>
      </w:pPr>
      <w:r>
        <w:t xml:space="preserve">Software version</w:t>
      </w:r>
    </w:p>
    <w:p>
      <w:pPr>
        <w:pStyle w:val="Compact"/>
        <w:numPr>
          <w:ilvl w:val="0"/>
          <w:numId w:val="1030"/>
        </w:numPr>
      </w:pPr>
      <w:r>
        <w:t xml:space="preserve">Location from where CEOS-ARD product can be retrieved, expressed as a URL or DOI.</w:t>
      </w:r>
    </w:p>
    <w:bookmarkEnd w:id="106"/>
    <w:bookmarkStart w:id="107" w:name="goal-requirements-1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07"/>
    <w:bookmarkStart w:id="108" w:name="assessment-16"/>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08"/>
    <w:bookmarkEnd w:id="109"/>
    <w:bookmarkStart w:id="113"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0" w:name="threshold-requirements-17"/>
    <w:p>
      <w:pPr>
        <w:pStyle w:val="berschrift5"/>
      </w:pPr>
      <w:r>
        <w:t xml:space="preserve">Threshold requirements:</w:t>
      </w:r>
    </w:p>
    <w:p>
      <w:pPr>
        <w:pStyle w:val="FirstParagraph"/>
      </w:pPr>
      <w:r>
        <w:t xml:space="preserve">Not required.</w:t>
      </w:r>
      <w:r>
        <w:t xml:space="preserve"> </w:t>
      </w:r>
    </w:p>
    <w:bookmarkEnd w:id="110"/>
    <w:bookmarkStart w:id="111" w:name="goal-requirements-17"/>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2"/>
        </w:numPr>
      </w:pPr>
      <w:r>
        <w:t xml:space="preserve">Auxiliary data includes DEMs, etc., and any additional data sources used in the generation of the product.</w:t>
      </w:r>
    </w:p>
    <w:bookmarkEnd w:id="111"/>
    <w:bookmarkStart w:id="112" w:name="assessment-17"/>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2"/>
    <w:bookmarkEnd w:id="113"/>
    <w:bookmarkStart w:id="117"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14" w:name="threshold-requirements-18"/>
    <w:p>
      <w:pPr>
        <w:pStyle w:val="berschrift5"/>
      </w:pPr>
      <w:r>
        <w:t xml:space="preserve">Threshold requirements:</w:t>
      </w:r>
    </w:p>
    <w:p>
      <w:pPr>
        <w:pStyle w:val="FirstParagraph"/>
      </w:pPr>
      <w:r>
        <w:t xml:space="preserve">CEOS-ARD product processing parameters details:</w:t>
      </w:r>
    </w:p>
    <w:p>
      <w:pPr>
        <w:pStyle w:val="Compact"/>
        <w:numPr>
          <w:ilvl w:val="0"/>
          <w:numId w:val="1034"/>
        </w:numPr>
      </w:pPr>
      <w:r>
        <w:t xml:space="preserve">Pixel (column) spacing</w:t>
      </w:r>
    </w:p>
    <w:p>
      <w:pPr>
        <w:pStyle w:val="Compact"/>
        <w:numPr>
          <w:ilvl w:val="0"/>
          <w:numId w:val="1034"/>
        </w:numPr>
      </w:pPr>
      <w:r>
        <w:t xml:space="preserve">Line (row) spacing</w:t>
      </w:r>
    </w:p>
    <w:bookmarkEnd w:id="114"/>
    <w:bookmarkStart w:id="115" w:name="goal-requirements-18"/>
    <w:p>
      <w:pPr>
        <w:pStyle w:val="berschrift5"/>
      </w:pPr>
      <w:r>
        <w:t xml:space="preserve">Goal requirements:</w:t>
      </w:r>
    </w:p>
    <w:p>
      <w:pPr>
        <w:pStyle w:val="FirstParagraph"/>
      </w:pPr>
      <w:r>
        <w:t xml:space="preserve">As threshold.</w:t>
      </w:r>
      <w:r>
        <w:t xml:space="preserve"> </w:t>
      </w:r>
    </w:p>
    <w:bookmarkEnd w:id="115"/>
    <w:bookmarkStart w:id="116" w:name="assessment-18"/>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16"/>
    <w:bookmarkEnd w:id="117"/>
    <w:bookmarkStart w:id="121"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18" w:name="threshold-requirements-19"/>
    <w:p>
      <w:pPr>
        <w:pStyle w:val="berschrift5"/>
      </w:pPr>
      <w:r>
        <w:t xml:space="preserve">Threshold requirements:</w:t>
      </w:r>
    </w:p>
    <w:p>
      <w:pPr>
        <w:pStyle w:val="FirstParagraph"/>
      </w:pPr>
      <w:r>
        <w:t xml:space="preserve">Not required.</w:t>
      </w:r>
      <w:r>
        <w:t xml:space="preserve"> </w:t>
      </w:r>
    </w:p>
    <w:bookmarkEnd w:id="118"/>
    <w:bookmarkStart w:id="119" w:name="goal-requirements-19"/>
    <w:p>
      <w:pPr>
        <w:pStyle w:val="berschrift5"/>
      </w:pPr>
      <w:r>
        <w:t xml:space="preserve">Goal requirements:</w:t>
      </w:r>
    </w:p>
    <w:p>
      <w:pPr>
        <w:pStyle w:val="FirstParagraph"/>
      </w:pPr>
      <w:r>
        <w:t xml:space="preserve">Equivalent Number of Looks (ENL)</w:t>
      </w:r>
    </w:p>
    <w:bookmarkEnd w:id="119"/>
    <w:bookmarkStart w:id="120" w:name="assessment-19"/>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0"/>
    <w:bookmarkEnd w:id="121"/>
    <w:bookmarkStart w:id="125"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2" w:name="threshold-requirements-20"/>
    <w:p>
      <w:pPr>
        <w:pStyle w:val="berschrift5"/>
      </w:pPr>
      <w:r>
        <w:t xml:space="preserve">Threshold requirements:</w:t>
      </w:r>
    </w:p>
    <w:p>
      <w:pPr>
        <w:pStyle w:val="FirstParagraph"/>
      </w:pPr>
      <w:r>
        <w:t xml:space="preserve">Not required.</w:t>
      </w:r>
      <w:r>
        <w:t xml:space="preserve"> </w:t>
      </w:r>
    </w:p>
    <w:bookmarkEnd w:id="122"/>
    <w:bookmarkStart w:id="123" w:name="goal-requirements-20"/>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3"/>
    <w:bookmarkStart w:id="124" w:name="assessment-20"/>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4"/>
    <w:bookmarkEnd w:id="125"/>
    <w:bookmarkStart w:id="129"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26" w:name="threshold-requirements-21"/>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9"/>
        </w:numPr>
      </w:pPr>
      <w:r>
        <w:t xml:space="preserve">Reference to algorithm as DOI or URL</w:t>
      </w:r>
    </w:p>
    <w:p>
      <w:pPr>
        <w:pStyle w:val="Compact"/>
        <w:numPr>
          <w:ilvl w:val="0"/>
          <w:numId w:val="1039"/>
        </w:numPr>
      </w:pPr>
      <w:r>
        <w:t xml:space="preserve">Input filtering parameters</w:t>
      </w:r>
    </w:p>
    <w:p>
      <w:pPr>
        <w:pStyle w:val="Compact"/>
        <w:numPr>
          <w:ilvl w:val="1"/>
          <w:numId w:val="1040"/>
        </w:numPr>
      </w:pPr>
      <w:r>
        <w:t xml:space="preserve">Type</w:t>
      </w:r>
    </w:p>
    <w:p>
      <w:pPr>
        <w:pStyle w:val="Compact"/>
        <w:numPr>
          <w:ilvl w:val="1"/>
          <w:numId w:val="1040"/>
        </w:numPr>
      </w:pPr>
      <w:r>
        <w:t xml:space="preserve">Window size in pixel units</w:t>
      </w:r>
    </w:p>
    <w:p>
      <w:pPr>
        <w:pStyle w:val="Compact"/>
        <w:numPr>
          <w:ilvl w:val="1"/>
          <w:numId w:val="1040"/>
        </w:numPr>
      </w:pPr>
      <w:r>
        <w:t xml:space="preserve">Any other parameters defining the speckle filter used</w:t>
      </w:r>
    </w:p>
    <w:bookmarkEnd w:id="126"/>
    <w:bookmarkStart w:id="127" w:name="goal-requirements-21"/>
    <w:p>
      <w:pPr>
        <w:pStyle w:val="berschrift5"/>
      </w:pPr>
      <w:r>
        <w:t xml:space="preserve">Goal requirements:</w:t>
      </w:r>
    </w:p>
    <w:p>
      <w:pPr>
        <w:pStyle w:val="FirstParagraph"/>
      </w:pPr>
      <w:r>
        <w:t xml:space="preserve">As threshold.</w:t>
      </w:r>
      <w:r>
        <w:t xml:space="preserve"> </w:t>
      </w:r>
    </w:p>
    <w:bookmarkEnd w:id="127"/>
    <w:bookmarkStart w:id="128" w:name="assessment-21"/>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28"/>
    <w:bookmarkEnd w:id="129"/>
    <w:bookmarkStart w:id="133"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0"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0"/>
    <w:bookmarkStart w:id="131" w:name="goal-requirements-22"/>
    <w:p>
      <w:pPr>
        <w:pStyle w:val="berschrift5"/>
      </w:pPr>
      <w:r>
        <w:t xml:space="preserve">Goal requirements:</w:t>
      </w:r>
    </w:p>
    <w:p>
      <w:pPr>
        <w:pStyle w:val="FirstParagraph"/>
      </w:pPr>
      <w:r>
        <w:t xml:space="preserve">As threshold.</w:t>
      </w:r>
      <w:r>
        <w:t xml:space="preserve"> </w:t>
      </w:r>
    </w:p>
    <w:bookmarkEnd w:id="131"/>
    <w:bookmarkStart w:id="132" w:name="assessment-22"/>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2"/>
    <w:bookmarkEnd w:id="133"/>
    <w:bookmarkStart w:id="137"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4"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4"/>
    <w:bookmarkStart w:id="135" w:name="goal-requirements-23"/>
    <w:p>
      <w:pPr>
        <w:pStyle w:val="berschrift5"/>
      </w:pPr>
      <w:r>
        <w:t xml:space="preserve">Goal requirements:</w:t>
      </w:r>
    </w:p>
    <w:p>
      <w:pPr>
        <w:pStyle w:val="FirstParagraph"/>
      </w:pPr>
      <w:r>
        <w:t xml:space="preserve">As threshold.</w:t>
      </w:r>
      <w:r>
        <w:t xml:space="preserve"> </w:t>
      </w:r>
    </w:p>
    <w:bookmarkEnd w:id="135"/>
    <w:bookmarkStart w:id="136" w:name="assessment-23"/>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6"/>
    <w:bookmarkEnd w:id="137"/>
    <w:bookmarkStart w:id="141"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8"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4"/>
        </w:numPr>
      </w:pPr>
      <w:r>
        <w:t xml:space="preserve">Number of lines</w:t>
      </w:r>
    </w:p>
    <w:p>
      <w:pPr>
        <w:pStyle w:val="Compact"/>
        <w:numPr>
          <w:ilvl w:val="0"/>
          <w:numId w:val="1044"/>
        </w:numPr>
      </w:pPr>
      <w:r>
        <w:t xml:space="preserve">Number of pixels per line</w:t>
      </w:r>
    </w:p>
    <w:p>
      <w:pPr>
        <w:pStyle w:val="Compact"/>
        <w:numPr>
          <w:ilvl w:val="0"/>
          <w:numId w:val="1044"/>
        </w:numPr>
      </w:pPr>
      <w:r>
        <w:t xml:space="preserve">File header size (if applicable)</w:t>
      </w:r>
    </w:p>
    <w:p>
      <w:pPr>
        <w:pStyle w:val="Compact"/>
        <w:numPr>
          <w:ilvl w:val="0"/>
          <w:numId w:val="1044"/>
        </w:numPr>
      </w:pPr>
      <w:r>
        <w:t xml:space="preserve">Number of no-data border pixels (if applicable)</w:t>
      </w:r>
    </w:p>
    <w:bookmarkEnd w:id="138"/>
    <w:bookmarkStart w:id="139" w:name="goal-requirements-24"/>
    <w:p>
      <w:pPr>
        <w:pStyle w:val="berschrift5"/>
      </w:pPr>
      <w:r>
        <w:t xml:space="preserve">Goal requirements:</w:t>
      </w:r>
    </w:p>
    <w:p>
      <w:pPr>
        <w:pStyle w:val="FirstParagraph"/>
      </w:pPr>
      <w:r>
        <w:t xml:space="preserve">As threshold.</w:t>
      </w:r>
      <w:r>
        <w:t xml:space="preserve"> </w:t>
      </w:r>
    </w:p>
    <w:bookmarkEnd w:id="139"/>
    <w:bookmarkStart w:id="140" w:name="assessment-24"/>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40"/>
    <w:bookmarkEnd w:id="141"/>
    <w:bookmarkStart w:id="145"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2"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2"/>
    <w:bookmarkStart w:id="143" w:name="goal-requirements-25"/>
    <w:p>
      <w:pPr>
        <w:pStyle w:val="berschrift5"/>
      </w:pPr>
      <w:r>
        <w:t xml:space="preserve">Goal requirements:</w:t>
      </w:r>
    </w:p>
    <w:p>
      <w:pPr>
        <w:pStyle w:val="FirstParagraph"/>
      </w:pPr>
      <w:r>
        <w:t xml:space="preserve">As threshold.</w:t>
      </w:r>
      <w:r>
        <w:t xml:space="preserve"> </w:t>
      </w:r>
    </w:p>
    <w:bookmarkEnd w:id="143"/>
    <w:bookmarkStart w:id="144" w:name="assessment-25"/>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4"/>
    <w:bookmarkEnd w:id="145"/>
    <w:bookmarkStart w:id="149"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6"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6"/>
    <w:bookmarkStart w:id="147" w:name="goal-requirements-26"/>
    <w:p>
      <w:pPr>
        <w:pStyle w:val="berschrift5"/>
      </w:pPr>
      <w:r>
        <w:t xml:space="preserve">Goal requirements:</w:t>
      </w:r>
    </w:p>
    <w:p>
      <w:pPr>
        <w:pStyle w:val="FirstParagraph"/>
      </w:pPr>
      <w:r>
        <w:t xml:space="preserve">As threshold.</w:t>
      </w:r>
      <w:r>
        <w:t xml:space="preserve"> </w:t>
      </w:r>
    </w:p>
    <w:bookmarkEnd w:id="147"/>
    <w:bookmarkStart w:id="148" w:name="assessment-26"/>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48"/>
    <w:bookmarkEnd w:id="149"/>
    <w:bookmarkStart w:id="153" w:name="sec:prd-procb"/>
    <w:p>
      <w:pPr>
        <w:pStyle w:val="berschrift4"/>
      </w:pPr>
      <w:r>
        <w:rPr>
          <w:rStyle w:val="VerbatimChar"/>
        </w:rPr>
        <w:t xml:space="preserve">3.12.</w:t>
      </w:r>
      <w:r>
        <w:t xml:space="preserve"> </w:t>
      </w:r>
      <w:r>
        <w:t xml:space="preserve">CB Processing</w:t>
      </w:r>
    </w:p>
    <w:p>
      <w:pPr>
        <w:pStyle w:val="FirstParagraph"/>
      </w:pPr>
      <w:r>
        <w:t xml:space="preserve">Identifier:</w:t>
      </w:r>
      <w:r>
        <w:t xml:space="preserve"> </w:t>
      </w:r>
      <w:r>
        <w:rPr>
          <w:rStyle w:val="VerbatimChar"/>
        </w:rPr>
        <w:t xml:space="preserve">prd-procb</w:t>
      </w:r>
    </w:p>
    <w:bookmarkStart w:id="150" w:name="threshold-requirements-27"/>
    <w:p>
      <w:pPr>
        <w:pStyle w:val="berschrift5"/>
      </w:pPr>
      <w:r>
        <w:t xml:space="preserve">Threshold requirements:</w:t>
      </w:r>
    </w:p>
    <w:p>
      <w:pPr>
        <w:pStyle w:val="FirstParagraph"/>
      </w:pPr>
      <w:r>
        <w:t xml:space="preserve">Reference to composite backscatter generation method used</w:t>
      </w:r>
    </w:p>
    <w:p>
      <w:pPr>
        <w:pStyle w:val="Compact"/>
        <w:numPr>
          <w:ilvl w:val="0"/>
          <w:numId w:val="1048"/>
        </w:numPr>
      </w:pPr>
      <w:r>
        <w:t xml:space="preserve">Methodology name</w:t>
      </w:r>
    </w:p>
    <w:p>
      <w:pPr>
        <w:pStyle w:val="Compact"/>
        <w:numPr>
          <w:ilvl w:val="0"/>
          <w:numId w:val="1048"/>
        </w:numPr>
      </w:pPr>
      <w:r>
        <w:t xml:space="preserve">Reference to methodology (DOI)</w:t>
      </w:r>
    </w:p>
    <w:p>
      <w:pPr>
        <w:pStyle w:val="Compact"/>
        <w:numPr>
          <w:ilvl w:val="0"/>
          <w:numId w:val="1048"/>
        </w:numPr>
      </w:pPr>
      <w:r>
        <w:t xml:space="preserve">Specific input parameters used</w:t>
      </w:r>
    </w:p>
    <w:bookmarkEnd w:id="150"/>
    <w:bookmarkStart w:id="151" w:name="goal-requirements-27"/>
    <w:p>
      <w:pPr>
        <w:pStyle w:val="berschrift5"/>
      </w:pPr>
      <w:r>
        <w:t xml:space="preserve">Goal requirements:</w:t>
      </w:r>
    </w:p>
    <w:p>
      <w:pPr>
        <w:pStyle w:val="FirstParagraph"/>
      </w:pPr>
      <w:r>
        <w:t xml:space="preserve">As threshold.</w:t>
      </w:r>
      <w:r>
        <w:t xml:space="preserve"> </w:t>
      </w:r>
    </w:p>
    <w:bookmarkEnd w:id="151"/>
    <w:bookmarkStart w:id="152" w:name="assessment-27"/>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2"/>
    <w:bookmarkEnd w:id="153"/>
    <w:bookmarkEnd w:id="154"/>
    <w:bookmarkStart w:id="183"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58"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55" w:name="threshold-requirements-28"/>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55"/>
    <w:bookmarkStart w:id="156" w:name="goal-requirements-28"/>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56"/>
    <w:bookmarkStart w:id="157" w:name="assessment-28"/>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57"/>
    <w:bookmarkEnd w:id="158"/>
    <w:bookmarkStart w:id="162"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59" w:name="threshold-requirements-29"/>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59"/>
    <w:bookmarkStart w:id="160" w:name="goal-requirements-29"/>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0"/>
    <w:bookmarkStart w:id="161" w:name="assessment-29"/>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1"/>
    <w:bookmarkEnd w:id="162"/>
    <w:bookmarkStart w:id="166" w:name="sec:pxl-pinopow"/>
    <w:p>
      <w:pPr>
        <w:pStyle w:val="berschrift4"/>
      </w:pPr>
      <w:r>
        <w:rPr>
          <w:rStyle w:val="VerbatimChar"/>
        </w:rPr>
        <w:t xml:space="preserve">4.3.</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63" w:name="threshold-requirements-30"/>
    <w:p>
      <w:pPr>
        <w:pStyle w:val="berschrift5"/>
      </w:pPr>
      <w:r>
        <w:t xml:space="preserve">Threshold requirements:</w:t>
      </w:r>
    </w:p>
    <w:p>
      <w:pPr>
        <w:pStyle w:val="FirstParagraph"/>
      </w:pPr>
      <w:r>
        <w:t xml:space="preserve">Not required.</w:t>
      </w:r>
      <w:r>
        <w:t xml:space="preserve"> </w:t>
      </w:r>
    </w:p>
    <w:bookmarkEnd w:id="163"/>
    <w:bookmarkStart w:id="164" w:name="goal-requirements-30"/>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56"/>
        </w:numPr>
      </w:pPr>
      <w:r>
        <w:t xml:space="preserve">Sample Type (Gamma-Nought, Sigma-Nought, Beta-Nought)</w:t>
      </w:r>
    </w:p>
    <w:p>
      <w:pPr>
        <w:pStyle w:val="Compact"/>
        <w:numPr>
          <w:ilvl w:val="0"/>
          <w:numId w:val="1056"/>
        </w:numPr>
      </w:pPr>
      <w:r>
        <w:t xml:space="preserve">Correction model type (Ellipsoid, Topography)</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The same compositing algorithm as for backscatter shall be used.</w:t>
      </w:r>
    </w:p>
    <w:bookmarkEnd w:id="164"/>
    <w:bookmarkStart w:id="165" w:name="assessment-30"/>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65"/>
    <w:bookmarkEnd w:id="166"/>
    <w:bookmarkStart w:id="170" w:name="sec:pxl-pacqidc"/>
    <w:p>
      <w:pPr>
        <w:pStyle w:val="berschrift4"/>
      </w:pPr>
      <w:r>
        <w:rPr>
          <w:rStyle w:val="VerbatimChar"/>
        </w:rPr>
        <w:t xml:space="preserve">4.4.</w:t>
      </w:r>
      <w:r>
        <w:t xml:space="preserve"> </w:t>
      </w:r>
      <w:r>
        <w:t xml:space="preserve">Acquisition ID Image</w:t>
      </w:r>
    </w:p>
    <w:p>
      <w:pPr>
        <w:pStyle w:val="FirstParagraph"/>
      </w:pPr>
      <w:r>
        <w:t xml:space="preserve">Identifier:</w:t>
      </w:r>
      <w:r>
        <w:t xml:space="preserve"> </w:t>
      </w:r>
      <w:r>
        <w:rPr>
          <w:rStyle w:val="VerbatimChar"/>
        </w:rPr>
        <w:t xml:space="preserve">pxl-pacqidc</w:t>
      </w:r>
    </w:p>
    <w:bookmarkStart w:id="167" w:name="threshold-requirements-31"/>
    <w:p>
      <w:pPr>
        <w:pStyle w:val="berschrift5"/>
      </w:pPr>
      <w:r>
        <w:t xml:space="preserve">Threshold requirements:</w:t>
      </w:r>
    </w:p>
    <w:p>
      <w:pPr>
        <w:pStyle w:val="FirstParagraph"/>
      </w:pPr>
      <w:r>
        <w:t xml:space="preserve">Not required.</w:t>
      </w:r>
      <w:r>
        <w:t xml:space="preserve"> </w:t>
      </w:r>
    </w:p>
    <w:bookmarkEnd w:id="167"/>
    <w:bookmarkStart w:id="168" w:name="goal-requirements-31"/>
    <w:p>
      <w:pPr>
        <w:pStyle w:val="berschrift5"/>
      </w:pPr>
      <w:r>
        <w:t xml:space="preserve">Goal requirements:</w:t>
      </w:r>
    </w:p>
    <w:p>
      <w:pPr>
        <w:pStyle w:val="FirstParagraph"/>
      </w:pPr>
      <w:r>
        <w:t xml:space="preserve">The source IDs for each pixel are identified.</w:t>
      </w:r>
    </w:p>
    <w:p>
      <w:pPr>
        <w:pStyle w:val="Textkrper"/>
      </w:pPr>
      <w:r>
        <w:t xml:space="preserve">File format specifications/ contents provided in metadata:</w:t>
      </w:r>
    </w:p>
    <w:p>
      <w:pPr>
        <w:pStyle w:val="Compact"/>
        <w:numPr>
          <w:ilvl w:val="0"/>
          <w:numId w:val="1059"/>
        </w:numPr>
      </w:pPr>
      <w:r>
        <w:t xml:space="preserve">Sample type (ID)</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bookmarkEnd w:id="168"/>
    <w:bookmarkStart w:id="169" w:name="assessment-31"/>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69"/>
    <w:bookmarkEnd w:id="170"/>
    <w:bookmarkStart w:id="174" w:name="sec:pxl-pidem"/>
    <w:p>
      <w:pPr>
        <w:pStyle w:val="berschrift4"/>
      </w:pPr>
      <w:r>
        <w:rPr>
          <w:rStyle w:val="VerbatimChar"/>
        </w:rPr>
        <w:t xml:space="preserve">4.5.</w:t>
      </w:r>
      <w:r>
        <w:t xml:space="preserve"> </w:t>
      </w:r>
      <w:r>
        <w:t xml:space="preserve">Per-Pixel DEM</w:t>
      </w:r>
    </w:p>
    <w:p>
      <w:pPr>
        <w:pStyle w:val="FirstParagraph"/>
      </w:pPr>
      <w:r>
        <w:t xml:space="preserve">Identifier:</w:t>
      </w:r>
      <w:r>
        <w:t xml:space="preserve"> </w:t>
      </w:r>
      <w:r>
        <w:rPr>
          <w:rStyle w:val="VerbatimChar"/>
        </w:rPr>
        <w:t xml:space="preserve">pxl-pidem</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61"/>
        </w:numPr>
      </w:pPr>
      <w:r>
        <w:t xml:space="preserve">Sample Type (Height)</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72"/>
    <w:bookmarkStart w:id="173" w:name="assessment-32"/>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73"/>
    <w:bookmarkEnd w:id="174"/>
    <w:bookmarkStart w:id="178" w:name="sec:pxl-conobi"/>
    <w:p>
      <w:pPr>
        <w:pStyle w:val="berschrift4"/>
      </w:pPr>
      <w:r>
        <w:rPr>
          <w:rStyle w:val="VerbatimChar"/>
        </w:rPr>
        <w:t xml:space="preserve">4.6.</w:t>
      </w:r>
      <w:r>
        <w:t xml:space="preserve"> </w:t>
      </w:r>
      <w:r>
        <w:t xml:space="preserve">Contributing Observations Image</w:t>
      </w:r>
    </w:p>
    <w:p>
      <w:pPr>
        <w:pStyle w:val="FirstParagraph"/>
      </w:pPr>
      <w:r>
        <w:t xml:space="preserve">Identifier:</w:t>
      </w:r>
      <w:r>
        <w:t xml:space="preserve"> </w:t>
      </w:r>
      <w:r>
        <w:rPr>
          <w:rStyle w:val="VerbatimChar"/>
        </w:rPr>
        <w:t xml:space="preserve">pxl-conobi</w:t>
      </w:r>
    </w:p>
    <w:bookmarkStart w:id="175" w:name="threshold-requirements-33"/>
    <w:p>
      <w:pPr>
        <w:pStyle w:val="berschrift5"/>
      </w:pPr>
      <w:r>
        <w:t xml:space="preserve">Threshold requirements:</w:t>
      </w:r>
    </w:p>
    <w:p>
      <w:pPr>
        <w:pStyle w:val="FirstParagraph"/>
      </w:pPr>
      <w:r>
        <w:t xml:space="preserve">Not required.</w:t>
      </w:r>
      <w:r>
        <w:t xml:space="preserve"> </w:t>
      </w:r>
    </w:p>
    <w:bookmarkEnd w:id="175"/>
    <w:bookmarkStart w:id="176" w:name="goal-requirements-33"/>
    <w:p>
      <w:pPr>
        <w:pStyle w:val="berschrift5"/>
      </w:pPr>
      <w:r>
        <w:t xml:space="preserve">Goal requirements:</w:t>
      </w:r>
    </w:p>
    <w:p>
      <w:pPr>
        <w:pStyle w:val="FirstParagraph"/>
      </w:pPr>
      <w:r>
        <w:t xml:space="preserve">The number of input products providing non-zero weights to the Local-Resolution-Weighting from a set of</w:t>
      </w:r>
      <w:r>
        <w:t xml:space="preserve"> </w:t>
      </w:r>
      <w:r>
        <w:t xml:space="preserve">“Terrain-flattened”</w:t>
      </w:r>
      <w:r>
        <w:t xml:space="preserve"> </w:t>
      </w:r>
      <w:r>
        <w:t xml:space="preserve">Radiometrically Terrain Corrected (RTC) Gamma-Nought backscatter coefficient (</w:t>
      </w:r>
      <m:oMath>
        <m:sSubSup>
          <m:e>
            <m:r>
              <m:t>γ</m:t>
            </m:r>
          </m:e>
          <m:sub>
            <m:r>
              <m:t>T</m:t>
            </m:r>
          </m:sub>
          <m:sup>
            <m:r>
              <m:t>0</m:t>
            </m:r>
          </m:sup>
        </m:sSubSup>
      </m:oMath>
      <w:r>
        <w:t xml:space="preserve">) image inputs (NRB, POL, or compliant (i.e. terrain-flattened) GSLC) is provided for each polarization.</w:t>
      </w:r>
    </w:p>
    <w:p>
      <w:pPr>
        <w:pStyle w:val="Textkrper"/>
      </w:pPr>
      <w:r>
        <w:t xml:space="preserve">A separate</w:t>
      </w:r>
      <w:r>
        <w:t xml:space="preserve"> </w:t>
      </w:r>
      <w:r>
        <w:t xml:space="preserve">“Contributing Observations image”</w:t>
      </w:r>
      <w:r>
        <w:t xml:space="preserve"> </w:t>
      </w:r>
      <w:r>
        <w:t xml:space="preserve">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4"/>
        </w:numPr>
      </w:pPr>
      <w:r>
        <w:t xml:space="preserve">Number of observations (Int)</w:t>
      </w:r>
    </w:p>
    <w:p>
      <w:pPr>
        <w:pStyle w:val="Compact"/>
        <w:numPr>
          <w:ilvl w:val="0"/>
          <w:numId w:val="1064"/>
        </w:numPr>
      </w:pPr>
      <w:r>
        <w:t xml:space="preserve">Polarization (HH, HV, VV, VH, RR, …)</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76"/>
    <w:bookmarkStart w:id="177" w:name="assessment-33"/>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77"/>
    <w:bookmarkEnd w:id="178"/>
    <w:bookmarkStart w:id="182" w:name="sec:pxl-coquama"/>
    <w:p>
      <w:pPr>
        <w:pStyle w:val="berschrift4"/>
      </w:pPr>
      <w:r>
        <w:rPr>
          <w:rStyle w:val="VerbatimChar"/>
        </w:rPr>
        <w:t xml:space="preserve">4.7.</w:t>
      </w:r>
      <w:r>
        <w:t xml:space="preserve"> </w:t>
      </w:r>
      <w:r>
        <w:t xml:space="preserve">Composite Quality Map Image</w:t>
      </w:r>
    </w:p>
    <w:p>
      <w:pPr>
        <w:pStyle w:val="FirstParagraph"/>
      </w:pPr>
      <w:r>
        <w:t xml:space="preserve">Identifier:</w:t>
      </w:r>
      <w:r>
        <w:t xml:space="preserve"> </w:t>
      </w:r>
      <w:r>
        <w:rPr>
          <w:rStyle w:val="VerbatimChar"/>
        </w:rPr>
        <w:t xml:space="preserve">pxl-coquama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From the methodology defined in</w:t>
      </w:r>
      <w:r>
        <w:t xml:space="preserve"> </w:t>
      </w:r>
      <w:r>
        <w:t xml:space="preserve">(</w:t>
      </w:r>
      <w:hyperlink w:anchor="ref-small2022">
        <w:r>
          <w:rPr>
            <w:rStyle w:val="Hyperlink"/>
          </w:rPr>
          <w:t xml:space="preserve">Small et al. 2022</w:t>
        </w:r>
      </w:hyperlink>
      <w:r>
        <w:t xml:space="preserve">)</w:t>
      </w:r>
      <w:r>
        <w:t xml:space="preserve">, the quality layer describing the composite’s achieved local resolution is provided (see</w:t>
      </w:r>
      <w:r>
        <w:t xml:space="preserve"> </w:t>
      </w:r>
      <w:hyperlink w:anchor="sec:annex-sar-cb-example">
        <w:r>
          <w:rPr>
            <w:rStyle w:val="Hyperlink"/>
          </w:rPr>
          <w:t xml:space="preserve">Composite Backscatter example</w:t>
        </w:r>
      </w:hyperlink>
      <w:r>
        <w:t xml:space="preserve">).</w:t>
      </w:r>
      <w:r>
        <w:t xml:space="preserve"> </w:t>
      </w:r>
      <w:r>
        <w:t xml:space="preserve">A separate Composite Quality Map Image 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6"/>
        </w:numPr>
      </w:pPr>
      <w:r>
        <w:t xml:space="preserve">Quality Descriptor Type</w:t>
      </w:r>
    </w:p>
    <w:p>
      <w:pPr>
        <w:pStyle w:val="Compact"/>
        <w:numPr>
          <w:ilvl w:val="0"/>
          <w:numId w:val="1066"/>
        </w:numPr>
      </w:pPr>
      <w:r>
        <w:t xml:space="preserve">dB-scaling Expression Convention (linear amplitude or linear power [see note])</w:t>
      </w:r>
    </w:p>
    <w:p>
      <w:pPr>
        <w:pStyle w:val="Compact"/>
        <w:numPr>
          <w:ilvl w:val="0"/>
          <w:numId w:val="1066"/>
        </w:numPr>
      </w:pPr>
      <w:r>
        <w:t xml:space="preserve">Polarization (HH, HV, VV, VH, RR, …)</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p>
      <w:pPr>
        <w:pStyle w:val="FirstParagraph"/>
      </w:pPr>
      <w:r>
        <w:t xml:space="preserve">Note:</w:t>
      </w:r>
    </w:p>
    <w:p>
      <w:pPr>
        <w:pStyle w:val="Compact"/>
        <w:numPr>
          <w:ilvl w:val="0"/>
          <w:numId w:val="1067"/>
        </w:numPr>
      </w:pPr>
      <w:r>
        <w:t xml:space="preserve">Transformation to the logarithmic decibel scale is not required or desired as this step can be completed by the user if necessary.</w:t>
      </w:r>
    </w:p>
    <w:bookmarkEnd w:id="180"/>
    <w:bookmarkStart w:id="181" w:name="assessment-34"/>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bookmarkEnd w:id="181"/>
    <w:bookmarkEnd w:id="182"/>
    <w:bookmarkEnd w:id="183"/>
    <w:bookmarkStart w:id="204"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187" w:name="sec:rcm-backsca-cb"/>
    <w:p>
      <w:pPr>
        <w:pStyle w:val="berschrift4"/>
      </w:pPr>
      <w:r>
        <w:rPr>
          <w:rStyle w:val="VerbatimChar"/>
        </w:rPr>
        <w:t xml:space="preserve">5.1.</w:t>
      </w:r>
      <w:r>
        <w:t xml:space="preserve"> </w:t>
      </w:r>
      <w:r>
        <w:t xml:space="preserve">Backscatter Measurements (CB)</w:t>
      </w:r>
    </w:p>
    <w:p>
      <w:pPr>
        <w:pStyle w:val="FirstParagraph"/>
      </w:pPr>
      <w:r>
        <w:t xml:space="preserve">Identifier:</w:t>
      </w:r>
      <w:r>
        <w:t xml:space="preserve"> </w:t>
      </w:r>
      <w:r>
        <w:rPr>
          <w:rStyle w:val="VerbatimChar"/>
        </w:rPr>
        <w:t xml:space="preserve">rcm-backsca-cb</w:t>
      </w:r>
    </w:p>
    <w:bookmarkStart w:id="184" w:name="threshold-requirements-35"/>
    <w:p>
      <w:pPr>
        <w:pStyle w:val="berschrift5"/>
      </w:pPr>
      <w:r>
        <w:t xml:space="preserve">Threshold requirements:</w:t>
      </w:r>
    </w:p>
    <w:p>
      <w:pPr>
        <w:pStyle w:val="FirstParagraph"/>
      </w:pPr>
      <w:r>
        <w:t xml:space="preserve">Composite Backscatter</w:t>
      </w:r>
      <w:r>
        <w:t xml:space="preserve"> </w:t>
      </w:r>
      <m:oMath>
        <m:sSubSup>
          <m:e>
            <m:r>
              <m:t>γ</m:t>
            </m:r>
          </m:e>
          <m:sub>
            <m:r>
              <m:t>C</m:t>
            </m:r>
          </m:sub>
          <m:sup>
            <m:r>
              <m:t>0</m:t>
            </m:r>
          </m:sup>
        </m:sSubSup>
      </m:oMath>
      <w:r>
        <w:t xml:space="preserve"> </w:t>
      </w:r>
      <w:r>
        <w:t xml:space="preserve">calculated, e.g. via Local-Resolution-Weighting</w:t>
      </w:r>
      <w:r>
        <w:t xml:space="preserve"> </w:t>
      </w:r>
      <w:r>
        <w:t xml:space="preserve">(</w:t>
      </w:r>
      <w:hyperlink w:anchor="ref-small2022">
        <w:r>
          <w:rPr>
            <w:rStyle w:val="Hyperlink"/>
          </w:rPr>
          <w:t xml:space="preserve">Small et al. 2022</w:t>
        </w:r>
      </w:hyperlink>
      <w:r>
        <w:t xml:space="preserve">)</w:t>
      </w:r>
      <w:r>
        <w:t xml:space="preserve">, from a set of Terrain-flattened Radiometrically Terrain Corrected (RTC) Gamma-Nought backscatter coefficient</w:t>
      </w:r>
      <w:r>
        <w:t xml:space="preserve"> </w:t>
      </w:r>
      <m:oMath>
        <m:sSubSup>
          <m:e>
            <m:r>
              <m:t>γ</m:t>
            </m:r>
          </m:e>
          <m:sub>
            <m:r>
              <m:t>T</m:t>
            </m:r>
          </m:sub>
          <m:sup>
            <m:r>
              <m:t>0</m:t>
            </m:r>
          </m:sup>
        </m:sSubSup>
      </m:oMath>
      <w:r>
        <w:t xml:space="preserve"> </w:t>
      </w:r>
      <w:r>
        <w:t xml:space="preserve">image inputs (NRB, POL, or compliant [i.e. terrain-flattened] GSLC) is provided for each polarization.</w:t>
      </w:r>
    </w:p>
    <w:p>
      <w:pPr>
        <w:pStyle w:val="Textkrper"/>
      </w:pPr>
      <w:r>
        <w:t xml:space="preserve">File format specifications/contents provided in metadata:</w:t>
      </w:r>
    </w:p>
    <w:p>
      <w:pPr>
        <w:pStyle w:val="Compact"/>
        <w:numPr>
          <w:ilvl w:val="0"/>
          <w:numId w:val="1069"/>
        </w:numPr>
      </w:pPr>
      <w:r>
        <w:t xml:space="preserve">Measurement Type (Gamma-Nought)</w:t>
      </w:r>
    </w:p>
    <w:p>
      <w:pPr>
        <w:pStyle w:val="Compact"/>
        <w:numPr>
          <w:ilvl w:val="0"/>
          <w:numId w:val="1069"/>
        </w:numPr>
      </w:pPr>
      <w:r>
        <w:t xml:space="preserve">Backscatter Expression Convention (linear amplitude, linear power [see note])</w:t>
      </w:r>
    </w:p>
    <w:p>
      <w:pPr>
        <w:pStyle w:val="Compact"/>
        <w:numPr>
          <w:ilvl w:val="0"/>
          <w:numId w:val="1069"/>
        </w:numPr>
      </w:pPr>
      <w:r>
        <w:t xml:space="preserve">Polarization (HH, HV, VV, VH, …)</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Transformation to the logarithmic decibel scale is not required or desired as this step can be completed by the user if necessary.</w:t>
      </w:r>
    </w:p>
    <w:bookmarkEnd w:id="184"/>
    <w:bookmarkStart w:id="185" w:name="goal-requirements-35"/>
    <w:p>
      <w:pPr>
        <w:pStyle w:val="berschrift5"/>
      </w:pPr>
      <w:r>
        <w:t xml:space="preserve">Goal requirements:</w:t>
      </w:r>
    </w:p>
    <w:p>
      <w:pPr>
        <w:pStyle w:val="FirstParagraph"/>
      </w:pPr>
      <w:r>
        <w:t xml:space="preserve">As threshold.</w:t>
      </w:r>
      <w:r>
        <w:t xml:space="preserve"> </w:t>
      </w:r>
    </w:p>
    <w:bookmarkEnd w:id="185"/>
    <w:bookmarkStart w:id="186" w:name="assessment-35"/>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86"/>
    <w:bookmarkEnd w:id="187"/>
    <w:bookmarkStart w:id="191"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188" w:name="threshold-requirements-36"/>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188"/>
    <w:bookmarkStart w:id="189" w:name="goal-requirements-36"/>
    <w:p>
      <w:pPr>
        <w:pStyle w:val="berschrift5"/>
      </w:pPr>
      <w:r>
        <w:t xml:space="preserve">Goal requirements:</w:t>
      </w:r>
    </w:p>
    <w:p>
      <w:pPr>
        <w:pStyle w:val="FirstParagraph"/>
      </w:pPr>
      <w:r>
        <w:t xml:space="preserve">As threshold, but use of float32.</w:t>
      </w:r>
    </w:p>
    <w:bookmarkEnd w:id="189"/>
    <w:bookmarkStart w:id="190" w:name="assessment-36"/>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190"/>
    <w:bookmarkEnd w:id="191"/>
    <w:bookmarkStart w:id="195"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192" w:name="threshold-requirements-37"/>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3"/>
        </w:numPr>
      </w:pPr>
      <w:r>
        <w:t xml:space="preserve">Thermal noise removal and image border noise removal to remove overall scene noise and scene edge artefacts, respectively.</w:t>
      </w:r>
    </w:p>
    <w:bookmarkEnd w:id="192"/>
    <w:bookmarkStart w:id="193" w:name="goal-requirements-37"/>
    <w:p>
      <w:pPr>
        <w:pStyle w:val="berschrift5"/>
      </w:pPr>
      <w:r>
        <w:t xml:space="preserve">Goal requirements:</w:t>
      </w:r>
    </w:p>
    <w:p>
      <w:pPr>
        <w:pStyle w:val="FirstParagraph"/>
      </w:pPr>
      <w:r>
        <w:t xml:space="preserve">As threshold.</w:t>
      </w:r>
      <w:r>
        <w:t xml:space="preserve"> </w:t>
      </w:r>
    </w:p>
    <w:bookmarkEnd w:id="193"/>
    <w:bookmarkStart w:id="194" w:name="assessment-37"/>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194"/>
    <w:bookmarkEnd w:id="195"/>
    <w:bookmarkStart w:id="199"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196" w:name="threshold-requirements-38"/>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5"/>
        </w:numPr>
      </w:pPr>
      <w:r>
        <w:t xml:space="preserve">a citable peer-reviewed algorithm</w:t>
      </w:r>
    </w:p>
    <w:p>
      <w:pPr>
        <w:pStyle w:val="Compact"/>
        <w:numPr>
          <w:ilvl w:val="0"/>
          <w:numId w:val="1075"/>
        </w:numPr>
      </w:pPr>
      <w:r>
        <w:t xml:space="preserve">technical documentation regarding the algorithm used to generate the backscatter estimates is expressed as URLs or DOIs</w:t>
      </w:r>
    </w:p>
    <w:p>
      <w:pPr>
        <w:pStyle w:val="Compact"/>
        <w:numPr>
          <w:ilvl w:val="0"/>
          <w:numId w:val="1075"/>
        </w:numPr>
      </w:pPr>
      <w:r>
        <w:t xml:space="preserve">the sources of auxiliary data used to make corrections</w:t>
      </w:r>
    </w:p>
    <w:p>
      <w:pPr>
        <w:pStyle w:val="FirstParagraph"/>
      </w:pPr>
      <w:r>
        <w:t xml:space="preserve">Note:</w:t>
      </w:r>
    </w:p>
    <w:p>
      <w:pPr>
        <w:pStyle w:val="Compact"/>
        <w:numPr>
          <w:ilvl w:val="0"/>
          <w:numId w:val="1076"/>
        </w:numPr>
      </w:pPr>
      <w:r>
        <w:t xml:space="preserve">Examples of technical documentation include an Algorithm, Theoretical Basis Document, product user guide, etc.</w:t>
      </w:r>
    </w:p>
    <w:bookmarkEnd w:id="196"/>
    <w:bookmarkStart w:id="197" w:name="goal-requirements-38"/>
    <w:p>
      <w:pPr>
        <w:pStyle w:val="berschrift5"/>
      </w:pPr>
      <w:r>
        <w:t xml:space="preserve">Goal requirements:</w:t>
      </w:r>
    </w:p>
    <w:p>
      <w:pPr>
        <w:pStyle w:val="FirstParagraph"/>
      </w:pPr>
      <w:r>
        <w:t xml:space="preserve">As threshold.</w:t>
      </w:r>
      <w:r>
        <w:t xml:space="preserve"> </w:t>
      </w:r>
    </w:p>
    <w:bookmarkEnd w:id="197"/>
    <w:bookmarkStart w:id="198" w:name="assessment-38"/>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198"/>
    <w:bookmarkEnd w:id="199"/>
    <w:bookmarkStart w:id="203"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00" w:name="threshold-requirements-39"/>
    <w:p>
      <w:pPr>
        <w:pStyle w:val="berschrift5"/>
      </w:pPr>
      <w:r>
        <w:t xml:space="preserve">Threshold requirements:</w:t>
      </w:r>
    </w:p>
    <w:p>
      <w:pPr>
        <w:pStyle w:val="FirstParagraph"/>
      </w:pPr>
      <w:r>
        <w:t xml:space="preserve">Not required.</w:t>
      </w:r>
      <w:r>
        <w:t xml:space="preserve"> </w:t>
      </w:r>
    </w:p>
    <w:bookmarkEnd w:id="200"/>
    <w:bookmarkStart w:id="201" w:name="goal-requirements-39"/>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01"/>
    <w:bookmarkStart w:id="202"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bookmarkEnd w:id="202"/>
    <w:bookmarkEnd w:id="203"/>
    <w:bookmarkEnd w:id="204"/>
    <w:bookmarkStart w:id="225"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08"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05" w:name="threshold-requirements-40"/>
    <w:p>
      <w:pPr>
        <w:pStyle w:val="berschrift5"/>
      </w:pPr>
      <w:r>
        <w:t xml:space="preserve">Threshold requirements:</w:t>
      </w:r>
    </w:p>
    <w:p>
      <w:pPr>
        <w:pStyle w:val="FirstParagraph"/>
      </w:pPr>
      <w:r>
        <w:t xml:space="preserve">Not required.</w:t>
      </w:r>
      <w:r>
        <w:t xml:space="preserve"> </w:t>
      </w:r>
    </w:p>
    <w:bookmarkEnd w:id="205"/>
    <w:bookmarkStart w:id="206" w:name="goal-requirements-40"/>
    <w:p>
      <w:pPr>
        <w:pStyle w:val="berschrift5"/>
      </w:pPr>
      <w:r>
        <w:t xml:space="preserve">Goal requirements:</w:t>
      </w:r>
    </w:p>
    <w:p>
      <w:pPr>
        <w:pStyle w:val="FirstParagraph"/>
      </w:pPr>
      <w:r>
        <w:t xml:space="preserve">Metadata references, e.g.:</w:t>
      </w:r>
    </w:p>
    <w:p>
      <w:pPr>
        <w:pStyle w:val="Compact"/>
        <w:numPr>
          <w:ilvl w:val="0"/>
          <w:numId w:val="1079"/>
        </w:numPr>
      </w:pPr>
      <w:r>
        <w:t xml:space="preserve">A metadata citable peer-reviewed algorithm</w:t>
      </w:r>
    </w:p>
    <w:p>
      <w:pPr>
        <w:pStyle w:val="Compact"/>
        <w:numPr>
          <w:ilvl w:val="0"/>
          <w:numId w:val="1079"/>
        </w:numPr>
      </w:pPr>
      <w:r>
        <w:t xml:space="preserve">Technical documentation regarding the implementation of that algorithm expressed as URLs or DOIs</w:t>
      </w:r>
    </w:p>
    <w:p>
      <w:pPr>
        <w:pStyle w:val="Compact"/>
        <w:numPr>
          <w:ilvl w:val="0"/>
          <w:numId w:val="1079"/>
        </w:numPr>
      </w:pPr>
      <w:r>
        <w:t xml:space="preserve">The sources of auxiliary data used to make corrections</w:t>
      </w:r>
    </w:p>
    <w:p>
      <w:pPr>
        <w:pStyle w:val="Compact"/>
        <w:numPr>
          <w:ilvl w:val="0"/>
          <w:numId w:val="1079"/>
        </w:numPr>
      </w:pPr>
      <w:r>
        <w:t xml:space="preserve">Resampling method used for geometric processing of the source data</w:t>
      </w:r>
    </w:p>
    <w:p>
      <w:pPr>
        <w:pStyle w:val="FirstParagraph"/>
      </w:pPr>
      <w:r>
        <w:t xml:space="preserve">Note:</w:t>
      </w:r>
    </w:p>
    <w:p>
      <w:pPr>
        <w:pStyle w:val="Compact"/>
        <w:numPr>
          <w:ilvl w:val="0"/>
          <w:numId w:val="1080"/>
        </w:numPr>
      </w:pPr>
      <w:r>
        <w:t xml:space="preserve">Examples of technical documentation can include e.g., an Algorithm Theoretical Basis Document (ATBD), or a product user guide.</w:t>
      </w:r>
    </w:p>
    <w:bookmarkEnd w:id="206"/>
    <w:bookmarkStart w:id="207" w:name="assessment-40"/>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7"/>
    <w:bookmarkEnd w:id="208"/>
    <w:bookmarkStart w:id="212"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09" w:name="threshold-requirements-41"/>
    <w:p>
      <w:pPr>
        <w:pStyle w:val="berschrift5"/>
      </w:pPr>
      <w:r>
        <w:t xml:space="preserve">Threshold requirements:</w:t>
      </w:r>
    </w:p>
    <w:p>
      <w:pPr>
        <w:pStyle w:val="Compact"/>
        <w:numPr>
          <w:ilvl w:val="0"/>
          <w:numId w:val="1082"/>
        </w:numPr>
      </w:pPr>
      <w:r>
        <w:t xml:space="preserve">During ortho-rectification, the data provider shall use the same DEM that was used for the radiometric terrain flattening to ensure consistency of the data stack.</w:t>
      </w:r>
    </w:p>
    <w:p>
      <w:pPr>
        <w:pStyle w:val="Compact"/>
        <w:numPr>
          <w:ilvl w:val="0"/>
          <w:numId w:val="108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2"/>
        </w:numPr>
      </w:pPr>
      <w:r>
        <w:t xml:space="preserve">Provide reference to Earth Gravitational Model (EGM) if used for geometric correction. For mosaic or composite products, specify the EGM used for each input data source, if different.</w:t>
      </w:r>
    </w:p>
    <w:bookmarkEnd w:id="209"/>
    <w:bookmarkStart w:id="210" w:name="goal-requirements-41"/>
    <w:p>
      <w:pPr>
        <w:pStyle w:val="berschrift5"/>
      </w:pPr>
      <w:r>
        <w:t xml:space="preserve">Goal requirements:</w:t>
      </w:r>
    </w:p>
    <w:p>
      <w:pPr>
        <w:pStyle w:val="Compact"/>
        <w:numPr>
          <w:ilvl w:val="0"/>
          <w:numId w:val="1083"/>
        </w:numPr>
      </w:pPr>
      <w:r>
        <w:t xml:space="preserve">A DEM with comparable or better resolution to the resolution of the output CEOS-ARD product shall be used if available. Else, the upsampled DEM is identified.</w:t>
      </w:r>
    </w:p>
    <w:p>
      <w:pPr>
        <w:pStyle w:val="Compact"/>
        <w:numPr>
          <w:ilvl w:val="0"/>
          <w:numId w:val="1083"/>
        </w:numPr>
      </w:pPr>
      <w:r>
        <w:t xml:space="preserve">Resampling method used for preparation of the DEM.</w:t>
      </w:r>
    </w:p>
    <w:p>
      <w:pPr>
        <w:pStyle w:val="Compact"/>
        <w:numPr>
          <w:ilvl w:val="0"/>
          <w:numId w:val="1083"/>
        </w:numPr>
      </w:pPr>
      <w:r>
        <w:t xml:space="preserve">Method used for resampling the EGM.</w:t>
      </w:r>
    </w:p>
    <w:bookmarkEnd w:id="210"/>
    <w:bookmarkStart w:id="211" w:name="assessment-41"/>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1"/>
    <w:bookmarkEnd w:id="212"/>
    <w:bookmarkStart w:id="216"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13" w:name="threshold-requirements-42"/>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8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85"/>
        </w:numPr>
      </w:pPr>
      <w:r>
        <w:t xml:space="preserve">For new SAR missions, as long as calibration/validation reports are not available, values can be set to NaN and provide a DOI or URL link to pre-launch mission specification document.</w:t>
      </w:r>
    </w:p>
    <w:bookmarkEnd w:id="213"/>
    <w:bookmarkStart w:id="214" w:name="goal-requirements-42"/>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14"/>
    <w:bookmarkStart w:id="215" w:name="assessment-42"/>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15"/>
    <w:bookmarkEnd w:id="216"/>
    <w:bookmarkStart w:id="220"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17" w:name="threshold-requirements-43"/>
    <w:p>
      <w:pPr>
        <w:pStyle w:val="berschrift5"/>
      </w:pPr>
      <w:r>
        <w:t xml:space="preserve">Threshold requirements:</w:t>
      </w:r>
    </w:p>
    <w:p>
      <w:pPr>
        <w:pStyle w:val="FirstParagraph"/>
      </w:pPr>
      <w:r>
        <w:t xml:space="preserve">Not required.</w:t>
      </w:r>
      <w:r>
        <w:t xml:space="preserve"> </w:t>
      </w:r>
    </w:p>
    <w:bookmarkEnd w:id="217"/>
    <w:bookmarkStart w:id="218" w:name="goal-requirements-43"/>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18"/>
    <w:bookmarkStart w:id="219" w:name="assessment-43"/>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19"/>
    <w:bookmarkEnd w:id="220"/>
    <w:bookmarkStart w:id="224"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21" w:name="threshold-requirements-44"/>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88"/>
        </w:numPr>
      </w:pPr>
      <w:r>
        <w:t xml:space="preserve">If a product hierarchy of resolutions exists (or is planned), the multiple resolutions should nest within each other (e.g., 12.5m, 25m, 50m, 100m, etc.), and not be disjoint.</w:t>
      </w:r>
    </w:p>
    <w:bookmarkEnd w:id="221"/>
    <w:bookmarkStart w:id="222" w:name="goal-requirements-44"/>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22"/>
    <w:bookmarkStart w:id="223" w:name="assessment-44"/>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br w:type="page"/>
      </w:r>
    </w:p>
    <w:bookmarkEnd w:id="223"/>
    <w:bookmarkEnd w:id="224"/>
    <w:bookmarkEnd w:id="225"/>
    <w:bookmarkEnd w:id="226"/>
    <w:bookmarkStart w:id="233" w:name="summary-self-assessment-table"/>
    <w:p>
      <w:pPr>
        <w:pStyle w:val="berschrift2"/>
      </w:pPr>
      <w:r>
        <w:t xml:space="preserve">Summary Self-Assessment Table</w:t>
      </w:r>
    </w:p>
    <w:bookmarkStart w:id="227"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27"/>
    <w:bookmarkStart w:id="228"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28"/>
    <w:bookmarkStart w:id="229"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prd-procb</w:t>
            </w:r>
          </w:p>
        </w:tc>
        <w:tc>
          <w:tcPr/>
          <w:p>
            <w:pPr>
              <w:pStyle w:val="Compact"/>
            </w:pPr>
            <w:r>
              <w:t xml:space="preserve">CB Processing</w:t>
            </w:r>
          </w:p>
        </w:tc>
        <w:tc>
          <w:tcPr/>
          <w:p>
            <w:pPr>
              <w:pStyle w:val="Compact"/>
            </w:pPr>
          </w:p>
        </w:tc>
        <w:tc>
          <w:tcPr/>
          <w:p>
            <w:pPr>
              <w:pStyle w:val="Compact"/>
              <w:jc w:val="center"/>
            </w:pPr>
            <w:r>
              <w:rPr>
                <w:i/>
                <w:iCs/>
              </w:rPr>
              <w:t xml:space="preserve">as threshold</w:t>
            </w:r>
          </w:p>
        </w:tc>
      </w:tr>
    </w:tbl>
    <w:bookmarkEnd w:id="229"/>
    <w:bookmarkStart w:id="230"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pxl-pacqidc</w:t>
            </w:r>
          </w:p>
        </w:tc>
        <w:tc>
          <w:tcPr/>
          <w:p>
            <w:pPr>
              <w:pStyle w:val="Compact"/>
            </w:pPr>
            <w:r>
              <w:t xml:space="preserve">Acquisition 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pxl-conobi</w:t>
            </w:r>
          </w:p>
        </w:tc>
        <w:tc>
          <w:tcPr/>
          <w:p>
            <w:pPr>
              <w:pStyle w:val="Compact"/>
            </w:pPr>
            <w:r>
              <w:t xml:space="preserve">Contributing Observations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pxl-coquama</w:t>
            </w:r>
          </w:p>
        </w:tc>
        <w:tc>
          <w:tcPr/>
          <w:p>
            <w:pPr>
              <w:pStyle w:val="Compact"/>
            </w:pPr>
            <w:r>
              <w:t xml:space="preserve">Composite Quality Map Image</w:t>
            </w:r>
          </w:p>
        </w:tc>
        <w:tc>
          <w:tcPr/>
          <w:p>
            <w:pPr>
              <w:pStyle w:val="Compact"/>
              <w:jc w:val="center"/>
            </w:pPr>
            <w:r>
              <w:rPr>
                <w:i/>
                <w:iCs/>
              </w:rPr>
              <w:t xml:space="preserve">not required</w:t>
            </w:r>
          </w:p>
        </w:tc>
        <w:tc>
          <w:tcPr/>
          <w:p>
            <w:pPr>
              <w:pStyle w:val="Compact"/>
            </w:pPr>
          </w:p>
        </w:tc>
      </w:tr>
    </w:tbl>
    <w:bookmarkEnd w:id="230"/>
    <w:bookmarkStart w:id="231"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rcm-backsca-cb</w:t>
            </w:r>
          </w:p>
        </w:tc>
        <w:tc>
          <w:tcPr/>
          <w:p>
            <w:pPr>
              <w:pStyle w:val="Compact"/>
            </w:pPr>
            <w:r>
              <w:t xml:space="preserve">Backscatter Measurements (CB)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31"/>
    <w:bookmarkStart w:id="232"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32"/>
    <w:bookmarkEnd w:id="233"/>
    <w:bookmarkStart w:id="239"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34"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34"/>
    <w:bookmarkStart w:id="236"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0"/>
        </w:numPr>
      </w:pPr>
      <w:r>
        <w:t xml:space="preserve">that product has been assessed as meeting CEOS-ARD requirements by the agency responsible for production and distribution of the product, and</w:t>
      </w:r>
    </w:p>
    <w:p>
      <w:pPr>
        <w:pStyle w:val="Compact"/>
        <w:numPr>
          <w:ilvl w:val="0"/>
          <w:numId w:val="109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35">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36"/>
    <w:bookmarkStart w:id="237"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37"/>
    <w:bookmarkStart w:id="238"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38"/>
    <w:bookmarkEnd w:id="239"/>
    <w:bookmarkStart w:id="257" w:name="references"/>
    <w:p>
      <w:pPr>
        <w:pStyle w:val="berschrift2"/>
      </w:pPr>
      <w:r>
        <w:t xml:space="preserve">References</w:t>
      </w:r>
    </w:p>
    <w:bookmarkStart w:id="256" w:name="refs"/>
    <w:bookmarkStart w:id="241"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40">
        <w:r>
          <w:rPr>
            <w:rStyle w:val="Hyperlink"/>
          </w:rPr>
          <w:t xml:space="preserve">https://doi.org/10.5281/zenodo.17801666</w:t>
        </w:r>
      </w:hyperlink>
      <w:r>
        <w:t xml:space="preserve">.</w:t>
      </w:r>
    </w:p>
    <w:bookmarkEnd w:id="241"/>
    <w:bookmarkStart w:id="24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42"/>
    <w:bookmarkStart w:id="243"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43"/>
    <w:bookmarkStart w:id="245"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44">
        <w:r>
          <w:rPr>
            <w:rStyle w:val="Hyperlink"/>
          </w:rPr>
          <w:t xml:space="preserve">https://doi.org/10.1109/TGRS.2008.2002881</w:t>
        </w:r>
      </w:hyperlink>
      <w:r>
        <w:t xml:space="preserve">.</w:t>
      </w:r>
    </w:p>
    <w:bookmarkEnd w:id="245"/>
    <w:bookmarkStart w:id="24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46">
        <w:r>
          <w:rPr>
            <w:rStyle w:val="Hyperlink"/>
          </w:rPr>
          <w:t xml:space="preserve">https://doi.org/10.1109/TGRS.2022.3147472</w:t>
        </w:r>
      </w:hyperlink>
      <w:r>
        <w:t xml:space="preserve">.</w:t>
      </w:r>
    </w:p>
    <w:bookmarkEnd w:id="247"/>
    <w:bookmarkStart w:id="24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48">
        <w:r>
          <w:rPr>
            <w:rStyle w:val="Hyperlink"/>
          </w:rPr>
          <w:t xml:space="preserve">https://doi.org/10.1109/TGRS.2011.2120616</w:t>
        </w:r>
      </w:hyperlink>
      <w:r>
        <w:t xml:space="preserve">.</w:t>
      </w:r>
    </w:p>
    <w:bookmarkEnd w:id="249"/>
    <w:bookmarkStart w:id="251" w:name="ref-small2022"/>
    <w:p>
      <w:pPr>
        <w:pStyle w:val="Literaturverzeichnis"/>
      </w:pPr>
      <w:r>
        <w:t xml:space="preserve">Small, David, Christoph Rohner, Nuno Miranda, Marius Rüetschi, and Michael E. Schaepman. 2022.</w:t>
      </w:r>
      <w:r>
        <w:t xml:space="preserve"> </w:t>
      </w:r>
      <w:r>
        <w:t xml:space="preserve">“Wide-Area Analysis-Ready Radar Backscatter Composites.”</w:t>
      </w:r>
      <w:r>
        <w:t xml:space="preserve"> </w:t>
      </w:r>
      <w:r>
        <w:rPr>
          <w:i/>
          <w:iCs/>
        </w:rPr>
        <w:t xml:space="preserve">IEEE Transactions on Geoscience and Remote Sensing</w:t>
      </w:r>
      <w:r>
        <w:t xml:space="preserve"> </w:t>
      </w:r>
      <w:r>
        <w:t xml:space="preserve">60: 1–14.</w:t>
      </w:r>
      <w:r>
        <w:t xml:space="preserve"> </w:t>
      </w:r>
      <w:hyperlink r:id="rId250">
        <w:r>
          <w:rPr>
            <w:rStyle w:val="Hyperlink"/>
          </w:rPr>
          <w:t xml:space="preserve">https://doi.org/10.1109/TGRS.2021.3055562</w:t>
        </w:r>
      </w:hyperlink>
      <w:r>
        <w:t xml:space="preserve">.</w:t>
      </w:r>
    </w:p>
    <w:bookmarkEnd w:id="251"/>
    <w:bookmarkStart w:id="253"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52">
        <w:r>
          <w:rPr>
            <w:rStyle w:val="Hyperlink"/>
          </w:rPr>
          <w:t xml:space="preserve">https://doi.org/10.1109/LGRS.2017.2753580</w:t>
        </w:r>
      </w:hyperlink>
      <w:r>
        <w:t xml:space="preserve">.</w:t>
      </w:r>
    </w:p>
    <w:bookmarkEnd w:id="253"/>
    <w:bookmarkStart w:id="255"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54">
        <w:r>
          <w:rPr>
            <w:rStyle w:val="Hyperlink"/>
          </w:rPr>
          <w:t xml:space="preserve">https://doi.org/10.1109/TGRS.2010.2051333</w:t>
        </w:r>
      </w:hyperlink>
      <w:r>
        <w:t xml:space="preserve">.</w:t>
      </w:r>
    </w:p>
    <w:bookmarkEnd w:id="255"/>
    <w:bookmarkEnd w:id="256"/>
    <w:p>
      <w:r>
        <w:br w:type="page"/>
      </w:r>
    </w:p>
    <w:bookmarkEnd w:id="257"/>
    <w:bookmarkStart w:id="268" w:name="annexes"/>
    <w:p>
      <w:pPr>
        <w:pStyle w:val="berschrift2"/>
      </w:pPr>
      <w:r>
        <w:t xml:space="preserve">Annexes</w:t>
      </w:r>
    </w:p>
    <w:bookmarkStart w:id="259"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1"/>
        </w:numPr>
      </w:pPr>
      <w:r>
        <w:t xml:space="preserve">Apply instrument calibration to produce Beta-Nought values with high fidelity.</w:t>
      </w:r>
    </w:p>
    <w:p>
      <w:pPr>
        <w:pStyle w:val="Compact"/>
        <w:numPr>
          <w:ilvl w:val="0"/>
          <w:numId w:val="109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1"/>
        </w:numPr>
      </w:pPr>
      <w:r>
        <w:t xml:space="preserve">Generate CEOS format metadata to accompany product layers.</w:t>
      </w:r>
    </w:p>
    <w:p>
      <w:pPr>
        <w:pStyle w:val="Compact"/>
        <w:numPr>
          <w:ilvl w:val="0"/>
          <w:numId w:val="109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58"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58"/>
    <w:bookmarkEnd w:id="259"/>
    <w:bookmarkStart w:id="267" w:name="sec:annex-sar-cb-example"/>
    <w:p>
      <w:pPr>
        <w:pStyle w:val="berschrift3"/>
      </w:pPr>
      <w:r>
        <w:t xml:space="preserve">Composite Backscatter example</w:t>
      </w:r>
    </w:p>
    <w:p>
      <w:pPr>
        <w:pStyle w:val="FirstParagraph"/>
      </w:pPr>
      <w:r>
        <w:t xml:space="preserve">The algorithm for generating a Composite Backscatter (CB) product using local resolution weighting is described below.</w:t>
      </w:r>
    </w:p>
    <w:p>
      <w:pPr>
        <w:pStyle w:val="Textkrper"/>
      </w:pPr>
      <w:r>
        <w:t xml:space="preserve">A CB product is generated from a set of Normalised Radar Backscatter (NRB) datasets. If not already available, the NRB products need to be generated as an intermediate step. Notably, each NRB product needs to include Scattering Area Image per-pixel metadata (see the corresponding requirement in the NRB PFS) from which the local contributing area</w:t>
      </w:r>
      <w:r>
        <w:t xml:space="preserve"> </w:t>
      </w:r>
      <m:oMath>
        <m:sSub>
          <m:e>
            <m:r>
              <m:t>​</m:t>
            </m:r>
          </m:e>
          <m:sub>
            <m:r>
              <m:t>i</m:t>
            </m:r>
          </m:sub>
        </m:sSub>
      </m:oMath>
      <w:r>
        <w:t xml:space="preserve"> </w:t>
      </w:r>
      <w:r>
        <w:t xml:space="preserve">are obtained.</w:t>
      </w:r>
    </w:p>
    <w:p>
      <w:pPr>
        <w:pStyle w:val="Textkrper"/>
      </w:pPr>
      <w:r>
        <w:t xml:space="preserve">A temporal window is defined encapsulating all NRB products to be used to generate the CB product. For each pixel</w:t>
      </w:r>
      <w:r>
        <w:t xml:space="preserve"> </w:t>
      </w:r>
      <m:oMath>
        <m:r>
          <m:t>i</m:t>
        </m:r>
      </m:oMath>
      <w:r>
        <w:t xml:space="preserve"> </w:t>
      </w:r>
      <w:r>
        <w:t xml:space="preserve">in the region to be covered by the CB, all input products are assembled, particularly both the RTC terrain-flattened gamma</w:t>
      </w:r>
      <w:r>
        <w:t xml:space="preserve"> </w:t>
      </w:r>
      <m:oMath>
        <m:sSubSup>
          <m:e>
            <m:r>
              <m:t>γ</m:t>
            </m:r>
          </m:e>
          <m:sub>
            <m:r>
              <m:t>i</m:t>
            </m:r>
          </m:sub>
          <m:sup>
            <m:r>
              <m:t>0</m:t>
            </m:r>
          </m:sup>
        </m:sSubSup>
      </m:oMath>
      <w:r>
        <w:t xml:space="preserve"> </w:t>
      </w:r>
      <w:r>
        <w:t xml:space="preserve">(see the Backscatter Measurements (NRB) requirement in the NRB PFS) and the local contributing area</w:t>
      </w:r>
      <w:r>
        <w:t xml:space="preserve"> </w:t>
      </w:r>
      <m:oMath>
        <m:sSub>
          <m:e>
            <m:r>
              <m:t>A</m:t>
            </m:r>
          </m:e>
          <m:sub>
            <m:r>
              <m:t>i</m:t>
            </m:r>
          </m:sub>
        </m:sSub>
      </m:oMath>
      <w:r>
        <w:t xml:space="preserve"> </w:t>
      </w:r>
      <w:r>
        <w:t xml:space="preserve">(see the requirement</w:t>
      </w:r>
      <w:r>
        <w:t xml:space="preserve"> </w:t>
      </w:r>
      <w:r>
        <w:t xml:space="preserve">“Scattering Area Image”</w:t>
      </w:r>
      <w:r>
        <w:t xml:space="preserve"> </w:t>
      </w:r>
      <w:r>
        <w:t xml:space="preserve">in the PFS applicable to your source data). That area is the one locally used for terrain flattening during the generation of the RTC product, i.e. the sum of the area expressed in the plane perpendicular to slant range (gamma nought convention) of all terrain facets within the bounds of that pixel</w:t>
      </w:r>
      <w:r>
        <w:t xml:space="preserve"> </w:t>
      </w:r>
      <w:r>
        <w:t xml:space="preserve">(</w:t>
      </w:r>
      <w:hyperlink w:anchor="ref-small2022">
        <w:r>
          <w:rPr>
            <w:rStyle w:val="Hyperlink"/>
          </w:rPr>
          <w:t xml:space="preserve">Small et al. 2022</w:t>
        </w:r>
      </w:hyperlink>
      <w:r>
        <w:t xml:space="preserve">;</w:t>
      </w:r>
      <w:r>
        <w:t xml:space="preserve"> </w:t>
      </w:r>
      <w:hyperlink w:anchor="ref-shiroma2022">
        <w:r>
          <w:rPr>
            <w:rStyle w:val="Hyperlink"/>
          </w:rPr>
          <w:t xml:space="preserve">Shiroma et al. 2022</w:t>
        </w:r>
      </w:hyperlink>
      <w:r>
        <w:t xml:space="preserve">)</w:t>
      </w:r>
      <w:r>
        <w:t xml:space="preserve">. The terrain-flattened gamma nought RTC backscatter may or may not have had noise removal applied before proceeding to the composite generation stage. No noise removal step is currently foreseen during the composite generation itself. Given N potential contributing input products, a subset of M is chosen whereby only products with pixel i not in shadow are included. Then one proceeds to calculating the composite backscatter for pixel</w:t>
      </w:r>
      <w:r>
        <w:t xml:space="preserve"> </w:t>
      </w:r>
      <m:oMath>
        <m:r>
          <m:t>i</m:t>
        </m:r>
      </m:oMath>
      <w:r>
        <w:t xml:space="preserve">.</w:t>
      </w:r>
    </w:p>
    <w:p>
      <w:pPr>
        <w:pStyle w:val="Textkrper"/>
      </w:pPr>
      <w:r>
        <w:t xml:space="preserve">First, the sum of the reciprocals</w:t>
      </w:r>
      <w:r>
        <w:t xml:space="preserve"> </w:t>
      </w:r>
      <m:oMath>
        <m:sSub>
          <m:e>
            <m:r>
              <m:t>S</m:t>
            </m:r>
          </m:e>
          <m:sub>
            <m:r>
              <m:t>r</m:t>
            </m:r>
          </m:sub>
        </m:sSub>
      </m:oMath>
      <w:r>
        <w:t xml:space="preserve"> </w:t>
      </w:r>
      <w:r>
        <w:t xml:space="preserve">of all local contributing areas is calculated:</w:t>
      </w:r>
    </w:p>
    <w:p>
      <w:pPr>
        <w:pStyle w:val="Textkrper"/>
      </w:pPr>
      <w:bookmarkStart w:id="260" w:name="eq:sar-cb-example-eq1"/>
      <m:oMathPara>
        <m:oMathParaPr>
          <m:jc m:val="center"/>
        </m:oMathParaPr>
        <m:oMath>
          <m:sSub>
            <m:e>
              <m:r>
                <m:t>S</m:t>
              </m:r>
            </m:e>
            <m:sub>
              <m:r>
                <m:t>r</m:t>
              </m:r>
            </m:sub>
          </m:sSub>
          <m:r>
            <m:rPr>
              <m:sty m:val="p"/>
            </m:rPr>
            <m:t>=</m:t>
          </m:r>
          <m:nary>
            <m:naryPr>
              <m:chr m:val="∑"/>
              <m:limLoc m:val="undOvr"/>
              <m:subHide m:val="off"/>
              <m:supHide m:val="off"/>
            </m:naryPr>
            <m:sub>
              <m:r>
                <m:t>i</m:t>
              </m:r>
              <m:r>
                <m:rPr>
                  <m:sty m:val="p"/>
                </m:rPr>
                <m:t>=</m:t>
              </m:r>
              <m:r>
                <m:t>1</m:t>
              </m:r>
            </m:sub>
            <m:sup>
              <m:r>
                <m:t>M</m:t>
              </m:r>
            </m:sup>
            <m:e>
              <m:f>
                <m:fPr>
                  <m:type m:val="bar"/>
                </m:fPr>
                <m:num>
                  <m:r>
                    <m:t>1</m:t>
                  </m:r>
                </m:num>
                <m:den>
                  <m:sSub>
                    <m:e>
                      <m:r>
                        <m:t>A</m:t>
                      </m:r>
                    </m:e>
                    <m:sub>
                      <m:r>
                        <m:t>i</m:t>
                      </m:r>
                    </m:sub>
                  </m:sSub>
                </m:den>
              </m:f>
            </m:e>
          </m:nary>
          <m:r>
            <m:t>  </m:t>
          </m:r>
          <m:r>
            <m:rPr>
              <m:sty m:val="p"/>
            </m:rPr>
            <m:t>(</m:t>
          </m:r>
          <m:r>
            <m:t>1</m:t>
          </m:r>
          <m:r>
            <m:rPr>
              <m:sty m:val="p"/>
            </m:rPr>
            <m:t>)</m:t>
          </m:r>
        </m:oMath>
      </m:oMathPara>
      <w:bookmarkEnd w:id="260"/>
    </w:p>
    <w:p>
      <w:pPr>
        <w:pStyle w:val="FirstParagraph"/>
      </w:pPr>
      <w:r>
        <w:t xml:space="preserve">Next, the individual weight</w:t>
      </w:r>
      <w:r>
        <w:t xml:space="preserve"> </w:t>
      </w:r>
      <m:oMath>
        <m:sSub>
          <m:e>
            <m:r>
              <m:t>W</m:t>
            </m:r>
          </m:e>
          <m:sub>
            <m:r>
              <m:t>i</m:t>
            </m:r>
          </m:sub>
        </m:sSub>
      </m:oMath>
      <w:r>
        <w:t xml:space="preserve"> </w:t>
      </w:r>
      <w:r>
        <w:t xml:space="preserve">for each of the M contributing input images is calculated:</w:t>
      </w:r>
    </w:p>
    <w:p>
      <w:pPr>
        <w:pStyle w:val="Textkrper"/>
      </w:pPr>
      <w:bookmarkStart w:id="261" w:name="eq:sar-cb-example-eq2"/>
      <m:oMathPara>
        <m:oMathParaPr>
          <m:jc m:val="center"/>
        </m:oMathParaPr>
        <m:oMath>
          <m:sSub>
            <m:e>
              <m:r>
                <m:t>W</m:t>
              </m:r>
            </m:e>
            <m:sub>
              <m:r>
                <m:t>i</m:t>
              </m:r>
            </m:sub>
          </m:sSub>
          <m:r>
            <m:rPr>
              <m:sty m:val="p"/>
            </m:rPr>
            <m:t>=</m:t>
          </m:r>
          <m:f>
            <m:fPr>
              <m:type m:val="bar"/>
            </m:fPr>
            <m:num>
              <m:r>
                <m:t>1</m:t>
              </m:r>
            </m:num>
            <m:den>
              <m:sSub>
                <m:e>
                  <m:r>
                    <m:t>A</m:t>
                  </m:r>
                </m:e>
                <m:sub>
                  <m:r>
                    <m:t>i</m:t>
                  </m:r>
                </m:sub>
              </m:sSub>
              <m:r>
                <m:rPr>
                  <m:sty m:val="p"/>
                </m:rPr>
                <m:t>⋅</m:t>
              </m:r>
              <m:sSub>
                <m:e>
                  <m:r>
                    <m:t>S</m:t>
                  </m:r>
                </m:e>
                <m:sub>
                  <m:r>
                    <m:t>r</m:t>
                  </m:r>
                </m:sub>
              </m:sSub>
            </m:den>
          </m:f>
          <m:r>
            <m:t>  </m:t>
          </m:r>
          <m:r>
            <m:rPr>
              <m:sty m:val="p"/>
            </m:rPr>
            <m:t>(</m:t>
          </m:r>
          <m:r>
            <m:t>2</m:t>
          </m:r>
          <m:r>
            <m:rPr>
              <m:sty m:val="p"/>
            </m:rPr>
            <m:t>)</m:t>
          </m:r>
        </m:oMath>
      </m:oMathPara>
      <w:bookmarkEnd w:id="261"/>
    </w:p>
    <w:p>
      <w:pPr>
        <w:pStyle w:val="FirstParagraph"/>
      </w:pPr>
      <w:r>
        <w:t xml:space="preserve">Now that the weight of each input image 1…M is ready, calculating the composite backscatter value is a simple matter of applying the weights to the terrain-flattened backscatter values in each input RTC image:</w:t>
      </w:r>
    </w:p>
    <w:p>
      <w:pPr>
        <w:pStyle w:val="Textkrper"/>
      </w:pPr>
      <w:bookmarkStart w:id="262" w:name="eq:sar-cb-example-eq3"/>
      <m:oMathPara>
        <m:oMathParaPr>
          <m:jc m:val="center"/>
        </m:oMathParaPr>
        <m:oMath>
          <m:sSub>
            <m:e>
              <m:r>
                <m:t>γ</m:t>
              </m:r>
            </m:e>
            <m:sub>
              <m:r>
                <m:t>c</m:t>
              </m:r>
            </m:sub>
          </m:sSub>
          <m:r>
            <m:rPr>
              <m:sty m:val="p"/>
            </m:rPr>
            <m:t>=</m:t>
          </m:r>
          <m:nary>
            <m:naryPr>
              <m:chr m:val="∑"/>
              <m:limLoc m:val="undOvr"/>
              <m:subHide m:val="off"/>
              <m:supHide m:val="off"/>
            </m:naryPr>
            <m:sub>
              <m:r>
                <m:t>i</m:t>
              </m:r>
              <m:r>
                <m:rPr>
                  <m:sty m:val="p"/>
                </m:rPr>
                <m:t>=</m:t>
              </m:r>
              <m:r>
                <m:t>1</m:t>
              </m:r>
            </m:sub>
            <m:sup>
              <m:r>
                <m:t>M</m:t>
              </m:r>
            </m:sup>
            <m:e>
              <m:sSub>
                <m:e>
                  <m:r>
                    <m:t>W</m:t>
                  </m:r>
                </m:e>
                <m:sub>
                  <m:r>
                    <m:t>i</m:t>
                  </m:r>
                </m:sub>
              </m:sSub>
            </m:e>
          </m:nary>
          <m:r>
            <m:rPr>
              <m:sty m:val="p"/>
            </m:rPr>
            <m:t>⋅</m:t>
          </m:r>
          <m:sSubSup>
            <m:e>
              <m:r>
                <m:t>γ</m:t>
              </m:r>
            </m:e>
            <m:sub>
              <m:r>
                <m:t>i</m:t>
              </m:r>
            </m:sub>
            <m:sup>
              <m:r>
                <m:t>0</m:t>
              </m:r>
            </m:sup>
          </m:sSubSup>
          <m:r>
            <m:t>  </m:t>
          </m:r>
          <m:r>
            <m:rPr>
              <m:sty m:val="p"/>
            </m:rPr>
            <m:t>(</m:t>
          </m:r>
          <m:r>
            <m:t>3</m:t>
          </m:r>
          <m:r>
            <m:rPr>
              <m:sty m:val="p"/>
            </m:rPr>
            <m:t>)</m:t>
          </m:r>
        </m:oMath>
      </m:oMathPara>
      <w:bookmarkEnd w:id="262"/>
    </w:p>
    <w:p>
      <w:pPr>
        <w:pStyle w:val="FirstParagraph"/>
      </w:pPr>
      <w:r>
        <w:t xml:space="preserve">Input images that imaged a mountain slope as a “backslope” (say an ascending image) will have local contributing area values that are relatively small in comparison to descending images covering the same region, as they will locally have been subject to foreshortening or possibly even layover. Low areas in the ascending images will correspond to relatively high weights (higher local resolution), while high areas (e.g. foreshortened) will generally result in relatively low weights. In this way, foreshortening and even layover are not “masked out” in a boolean sense, but their effects are reduced as far with the “fuzzy” weighting pattern. Applying an on or off mask would be an overreaction in some cases to foreshortening/layover, which can each exhibit a large variety of effects on the local backscatter.</w:t>
      </w:r>
    </w:p>
    <w:p>
      <w:pPr>
        <w:pStyle w:val="Textkrper"/>
      </w:pPr>
      <w:r>
        <w:t xml:space="preserve">One can cycle the set of pixels included e.g. in a standard tile definition to produce a tile-wide composite backscatter image. Multiple tiles can then be concatenated to cover ever larger regions. One can then generate composites representative of different seasons (e.g. all acquisitions from the first half of January, April, and June). One cycle through multiple CB images to see a “movie” of backscatter over the defined region, or alternatively overlay three CB products as a multi-temporal RGB visualisation. An example of this latter possibility is shown in Fig. A5.1, where the full extent of the European Alps are shown with the red channel from late Feb’25, green from early Apr’25, and blue from early May’25.</w:t>
      </w:r>
    </w:p>
    <w:p>
      <w:pPr>
        <w:pStyle w:val="Textkrper"/>
      </w:pPr>
      <w:r>
        <w:t xml:space="preserve">Multitemporal backscatter analysis can then be directly applied over large regions (e.g. tracking wet snow at low vs. high elevations through springtime), where that would not be possible for most users given only L1 SLC or L1 GRD products. Such CB products are even more “analysis-ready” than is the set of NRB (RTC) products used to generate them, as no direct analysis over wide regions would be possible on such a heterogeneous dataset. Although not all analytical frameworks will benefit from using CB products, they will be useful for a large subset of backscatter time-series applications, and hopefully ease the initial learning curve for new users of backscatter data.</w:t>
      </w:r>
    </w:p>
    <w:bookmarkStart w:id="266" w:name="fig:sar-cb-example"/>
    <w:p>
      <w:pPr>
        <w:pStyle w:val="CaptionedFigure"/>
      </w:pPr>
      <w:r>
        <w:drawing>
          <wp:inline>
            <wp:extent cx="5727700" cy="2625988"/>
            <wp:effectExtent b="0" l="0" r="0" t="0"/>
            <wp:docPr descr="Figure 1: Multitemporal RGB Composite Backscatter (CB) image of the European Alps calculated via Local Resolution Weighting (red: late Feb 2025, green: early April 2025, blue: early May 2025), geographic coordinates." title="" id="264" name="Picture"/>
            <a:graphic>
              <a:graphicData uri="http://schemas.openxmlformats.org/drawingml/2006/picture">
                <pic:pic>
                  <pic:nvPicPr>
                    <pic:cNvPr descr="assets/sar-cb-example/multitemporal-rgb-cb.png" id="265" name="Picture"/>
                    <pic:cNvPicPr>
                      <a:picLocks noChangeArrowheads="1" noChangeAspect="1"/>
                    </pic:cNvPicPr>
                  </pic:nvPicPr>
                  <pic:blipFill>
                    <a:blip r:embed="rId263"/>
                    <a:stretch>
                      <a:fillRect/>
                    </a:stretch>
                  </pic:blipFill>
                  <pic:spPr bwMode="auto">
                    <a:xfrm>
                      <a:off x="0" y="0"/>
                      <a:ext cx="5727700" cy="2625988"/>
                    </a:xfrm>
                    <a:prstGeom prst="rect">
                      <a:avLst/>
                    </a:prstGeom>
                    <a:noFill/>
                    <a:ln w="9525">
                      <a:noFill/>
                      <a:headEnd/>
                      <a:tailEnd/>
                    </a:ln>
                  </pic:spPr>
                </pic:pic>
              </a:graphicData>
            </a:graphic>
          </wp:inline>
        </w:drawing>
      </w:r>
    </w:p>
    <w:p>
      <w:pPr>
        <w:pStyle w:val="ImageCaption"/>
      </w:pPr>
      <w:r>
        <w:t xml:space="preserve">Figure 1: Multitemporal RGB Composite Backscatter (CB) image of the European Alps calculated via Local Resolution Weighting (red: late Feb 2025, green: early April 2025, blue: early May 2025), geographic coordinates.</w:t>
      </w:r>
    </w:p>
    <w:bookmarkEnd w:id="266"/>
    <w:bookmarkEnd w:id="267"/>
    <w:bookmarkEnd w:id="268"/>
    <w:bookmarkEnd w:id="26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63" Target="media/rId263.png" /><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Composite Backscatter - Version 1.1.0-draft</dc:title>
  <dc:creator/>
  <dc:language>en</dc:language>
  <cp:keywords/>
  <dcterms:created xsi:type="dcterms:W3CDTF">2026-09-15T18:50:50Z</dcterms:created>
  <dcterms:modified xsi:type="dcterms:W3CDTF">2026-09-15T18:50:50Z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/home/runner/work/ceos-ard/ceos-ard/build/CB.bib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