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78" w:name="Xf322761420ba12cd249c8be342647b2908c150a"/>
    <w:p>
      <w:pPr>
        <w:pStyle w:val="berschrift1"/>
      </w:pPr>
      <w:r>
        <w:t xml:space="preserve">CEOS-ARD - Synthetic Aperture Radar - Normalised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Normalised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Normalised Radar Backscatter (NRB)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Normalised Radar Backscatter (NRB)</w:t>
      </w:r>
    </w:p>
    <w:p>
      <w:pPr>
        <w:pStyle w:val="Textkrper"/>
      </w:pPr>
      <w:r>
        <w:rPr>
          <w:b/>
          <w:bCs/>
        </w:rPr>
        <w:t xml:space="preserve">Version:</w:t>
      </w:r>
      <w:r>
        <w:t xml:space="preserve"> </w:t>
      </w:r>
      <w:r>
        <w:t xml:space="preserve">5.6.0-draft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Normalised Radar Backscatter (NRB) specification describes products that have been subject to Radiometric Terrain Correction (RTC) and are provided in the Gamma-Nought (</w:t>
      </w:r>
      <m:oMath>
        <m:sSubSup>
          <m:e>
            <m:r>
              <m:t>γ</m:t>
            </m:r>
          </m:e>
          <m:sub>
            <m:r>
              <m:t>T</m:t>
            </m:r>
          </m:sub>
          <m:sup>
            <m:r>
              <m:t>0</m:t>
            </m:r>
          </m:sup>
        </m:sSubSup>
      </m:oMath>
      <w:r>
        <w:t xml:space="preserve">) backscatter convention</w:t>
      </w:r>
      <w:r>
        <w:t xml:space="preserve"> </w:t>
      </w:r>
      <w:r>
        <w:t xml:space="preserve">(</w:t>
      </w:r>
      <w:hyperlink w:anchor="ref-small2011">
        <w:r>
          <w:rPr>
            <w:rStyle w:val="Hyperlink"/>
          </w:rPr>
          <w:t xml:space="preserve">Small 2011</w:t>
        </w:r>
      </w:hyperlink>
      <w:r>
        <w:t xml:space="preserve">)</w:t>
      </w:r>
      <w:r>
        <w:t xml:space="preserve">, which mitigates the variations from diverse observation geometries and is recommended for most land applications.</w:t>
      </w:r>
      <w:r>
        <w:t xml:space="preserve"> </w:t>
      </w:r>
      <w:r>
        <w:t xml:space="preserve">An additional metadata layer can be optionally provided for conversion of</w:t>
      </w:r>
      <w:r>
        <w:t xml:space="preserve"> </w:t>
      </w:r>
      <m:oMath>
        <m:sSubSup>
          <m:e>
            <m:r>
              <m:t>γ</m:t>
            </m:r>
          </m:e>
          <m:sub>
            <m:r>
              <m:t>T</m:t>
            </m:r>
          </m:sub>
          <m:sup>
            <m:r>
              <m:t>0</m:t>
            </m:r>
          </m:sup>
        </m:sSubSup>
      </m:oMath>
      <w:r>
        <w:t xml:space="preserve"> </w:t>
      </w:r>
      <w:r>
        <w:t xml:space="preserve">to Sigma-Nought (</w:t>
      </w:r>
      <m:oMath>
        <m:sSubSup>
          <m:e>
            <m:r>
              <m:t>σ</m:t>
            </m:r>
          </m:e>
          <m:sub>
            <m:r>
              <m:t>T</m:t>
            </m:r>
          </m:sub>
          <m:sup>
            <m:r>
              <m:t>0</m:t>
            </m:r>
          </m:sup>
        </m:sSubSup>
      </m:oMath>
      <w:r>
        <w:t xml:space="preserve">) backscatter layer for compatibility with legacy software or numerical models.</w:t>
      </w:r>
    </w:p>
    <w:p>
      <w:pPr>
        <w:pStyle w:val="Textkrper"/>
      </w:pPr>
      <w:r>
        <w:t xml:space="preserve">As the NRB product contains backscatter values only, it cannot be directly used for SAR polarimetry or interferometric applications that require relative polarization phase or local phase estimates respectively.</w:t>
      </w:r>
      <w:r>
        <w:t xml:space="preserve"> </w:t>
      </w:r>
      <w:r>
        <w:t xml:space="preserve">However, as an option, a “flattened” phase data layer can be provided with an NRB product for enabling InSAR analysis.</w:t>
      </w:r>
      <w:r>
        <w:t xml:space="preserve"> </w:t>
      </w:r>
      <w:r>
        <w:t xml:space="preserve">The flattened phase is the interferometric phase, with respect to a reference orbit and to a digital elevation model (DEM), for which the topographic phase contribution is removed.</w:t>
      </w:r>
    </w:p>
    <w:p>
      <w:pPr>
        <w:pStyle w:val="Textkrper"/>
      </w:pPr>
      <w:r>
        <w:t xml:space="preserve">The NRB specification accommodates basic mosaic products generated from more than one input data source, where each pixel value in the NRB product uniquely corresponds to the pixel value of one of its input data sources, indicated in the Acquisition ID per-pixel metadata.</w:t>
      </w:r>
      <w:r>
        <w:t xml:space="preserve"> </w:t>
      </w:r>
      <w:r>
        <w:t xml:space="preserve">For products where the pixel value is dependent on multiple input sources, see the Composite Backscatter (CB) PFS.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nrb"/>
    <w:p>
      <w:pPr>
        <w:pStyle w:val="berschrift4"/>
      </w:pPr>
      <w:r>
        <w:rPr>
          <w:rStyle w:val="VerbatimChar"/>
        </w:rPr>
        <w:t xml:space="preserve">5.1.</w:t>
      </w:r>
      <w:r>
        <w:t xml:space="preserve"> </w:t>
      </w:r>
      <w:r>
        <w:t xml:space="preserve">Backscatter Measurements (NRB)</w:t>
      </w:r>
    </w:p>
    <w:p>
      <w:pPr>
        <w:pStyle w:val="FirstParagraph"/>
      </w:pPr>
      <w:r>
        <w:t xml:space="preserve">Identifier:</w:t>
      </w:r>
      <w:r>
        <w:t xml:space="preserve"> </w:t>
      </w:r>
      <w:r>
        <w:rPr>
          <w:rStyle w:val="VerbatimChar"/>
        </w:rPr>
        <w:t xml:space="preserve">rcm-backsca-nrb</w:t>
      </w:r>
    </w:p>
    <w:bookmarkStart w:id="199" w:name="threshold-requirements-39"/>
    <w:p>
      <w:pPr>
        <w:pStyle w:val="berschrift5"/>
      </w:pPr>
      <w:r>
        <w:t xml:space="preserve">Threshold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(Gamma-Nought)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1"/>
        </w:numPr>
      </w:pPr>
      <w:r>
        <w:t xml:space="preserve">a citable peer-reviewed algorithm</w:t>
      </w:r>
    </w:p>
    <w:p>
      <w:pPr>
        <w:pStyle w:val="Compact"/>
        <w:numPr>
          <w:ilvl w:val="0"/>
          <w:numId w:val="1081"/>
        </w:numPr>
      </w:pPr>
      <w:r>
        <w:t xml:space="preserve">technical documentation regarding the algorithm used to generate the backscatter estimates is expressed as URLs or DOIs</w:t>
      </w:r>
    </w:p>
    <w:p>
      <w:pPr>
        <w:pStyle w:val="Compact"/>
        <w:numPr>
          <w:ilvl w:val="0"/>
          <w:numId w:val="1081"/>
        </w:numPr>
      </w:pPr>
      <w:r>
        <w:t xml:space="preserve">the sources of auxiliary data used to make corrections</w:t>
      </w:r>
    </w:p>
    <w:p>
      <w:pPr>
        <w:pStyle w:val="FirstParagraph"/>
      </w:pPr>
      <w:r>
        <w:t xml:space="preserve">Note:</w:t>
      </w:r>
    </w:p>
    <w:p>
      <w:pPr>
        <w:pStyle w:val="Compact"/>
        <w:numPr>
          <w:ilvl w:val="0"/>
          <w:numId w:val="1082"/>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5"/>
        </w:numPr>
      </w:pPr>
      <w:r>
        <w:t xml:space="preserve">Measurement Type (Flattened Phase)</w:t>
      </w:r>
    </w:p>
    <w:p>
      <w:pPr>
        <w:pStyle w:val="Compact"/>
        <w:numPr>
          <w:ilvl w:val="0"/>
          <w:numId w:val="1085"/>
        </w:numPr>
      </w:pPr>
      <w:r>
        <w:t xml:space="preserve">Reference Polarization (HH/HV/VV/VH)</w:t>
      </w:r>
    </w:p>
    <w:p>
      <w:pPr>
        <w:pStyle w:val="Compact"/>
        <w:numPr>
          <w:ilvl w:val="0"/>
          <w:numId w:val="1085"/>
        </w:numPr>
      </w:pPr>
      <w:r>
        <w:t xml:space="preserve">Data Format (GeoTIFF, HDF5, NetCDF, …)</w:t>
      </w:r>
    </w:p>
    <w:p>
      <w:pPr>
        <w:pStyle w:val="Compact"/>
        <w:numPr>
          <w:ilvl w:val="0"/>
          <w:numId w:val="1085"/>
        </w:numPr>
      </w:pPr>
      <w:r>
        <w:t xml:space="preserve">Data Type (Int, Float, …)</w:t>
      </w:r>
    </w:p>
    <w:p>
      <w:pPr>
        <w:pStyle w:val="Compact"/>
        <w:numPr>
          <w:ilvl w:val="0"/>
          <w:numId w:val="1085"/>
        </w:numPr>
      </w:pPr>
      <w:r>
        <w:t xml:space="preserve">Bits per Sample</w:t>
      </w:r>
    </w:p>
    <w:p>
      <w:pPr>
        <w:pStyle w:val="Compact"/>
        <w:numPr>
          <w:ilvl w:val="0"/>
          <w:numId w:val="1085"/>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7"/>
        </w:numPr>
      </w:pPr>
      <w:r>
        <w:t xml:space="preserve">A metadata citable peer-reviewed algorithm</w:t>
      </w:r>
    </w:p>
    <w:p>
      <w:pPr>
        <w:pStyle w:val="Compact"/>
        <w:numPr>
          <w:ilvl w:val="0"/>
          <w:numId w:val="1087"/>
        </w:numPr>
      </w:pPr>
      <w:r>
        <w:t xml:space="preserve">Technical documentation regarding the implementation of that algorithm expressed as URLs or DOIs</w:t>
      </w:r>
    </w:p>
    <w:p>
      <w:pPr>
        <w:pStyle w:val="Compact"/>
        <w:numPr>
          <w:ilvl w:val="0"/>
          <w:numId w:val="1087"/>
        </w:numPr>
      </w:pPr>
      <w:r>
        <w:t xml:space="preserve">The sources of auxiliary data used to make corrections</w:t>
      </w:r>
    </w:p>
    <w:p>
      <w:pPr>
        <w:pStyle w:val="Compact"/>
        <w:numPr>
          <w:ilvl w:val="0"/>
          <w:numId w:val="1087"/>
        </w:numPr>
      </w:pPr>
      <w:r>
        <w:t xml:space="preserve">Resampling method used for geometric processing of the source data</w:t>
      </w:r>
    </w:p>
    <w:p>
      <w:pPr>
        <w:pStyle w:val="FirstParagraph"/>
      </w:pPr>
      <w:r>
        <w:t xml:space="preserve">Note:</w:t>
      </w:r>
    </w:p>
    <w:p>
      <w:pPr>
        <w:pStyle w:val="Compact"/>
        <w:numPr>
          <w:ilvl w:val="0"/>
          <w:numId w:val="1088"/>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0"/>
        </w:numPr>
      </w:pPr>
      <w:r>
        <w:t xml:space="preserve">During ortho-rectification, the data provider shall use the same DEM that was used for the radiometric terrain flattening to ensure consistency of the data stack.</w:t>
      </w:r>
    </w:p>
    <w:p>
      <w:pPr>
        <w:pStyle w:val="Compact"/>
        <w:numPr>
          <w:ilvl w:val="0"/>
          <w:numId w:val="109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0"/>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1"/>
        </w:numPr>
      </w:pPr>
      <w:r>
        <w:t xml:space="preserve">A DEM with comparable or better resolution to the resolution of the output CEOS-ARD product shall be used if available. Else, the upsampled DEM is identified.</w:t>
      </w:r>
    </w:p>
    <w:p>
      <w:pPr>
        <w:pStyle w:val="Compact"/>
        <w:numPr>
          <w:ilvl w:val="0"/>
          <w:numId w:val="1091"/>
        </w:numPr>
      </w:pPr>
      <w:r>
        <w:t xml:space="preserve">Resampling method used for preparation of the DEM.</w:t>
      </w:r>
    </w:p>
    <w:p>
      <w:pPr>
        <w:pStyle w:val="Compact"/>
        <w:numPr>
          <w:ilvl w:val="0"/>
          <w:numId w:val="1091"/>
        </w:numPr>
      </w:pPr>
      <w:r>
        <w:t xml:space="preserve">Method used for resampling the EGM.</w:t>
      </w:r>
    </w:p>
    <w:bookmarkEnd w:id="229"/>
    <w:bookmarkStart w:id="230"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3"/>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6"/>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rcm-backsca-nrb</w:t>
            </w:r>
          </w:p>
        </w:tc>
        <w:tc>
          <w:tcPr/>
          <w:p>
            <w:pPr>
              <w:pStyle w:val="Compact"/>
            </w:pPr>
            <w:r>
              <w:t xml:space="preserve">Backscatter Measurements (NRB)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8"/>
        </w:numPr>
      </w:pPr>
      <w:r>
        <w:t xml:space="preserve">that product has been assessed as meeting CEOS-ARD requirements by the agency responsible for production and distribution of the product, and</w:t>
      </w:r>
    </w:p>
    <w:p>
      <w:pPr>
        <w:pStyle w:val="Compact"/>
        <w:numPr>
          <w:ilvl w:val="0"/>
          <w:numId w:val="109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74" w:name="references"/>
    <w:p>
      <w:pPr>
        <w:pStyle w:val="berschrift2"/>
      </w:pPr>
      <w:r>
        <w:t xml:space="preserve">References</w:t>
      </w:r>
    </w:p>
    <w:bookmarkStart w:id="273" w:name="refs"/>
    <w:bookmarkStart w:id="26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9">
        <w:r>
          <w:rPr>
            <w:rStyle w:val="Hyperlink"/>
          </w:rPr>
          <w:t xml:space="preserve">https://doi.org/10.5281/zenodo.17801666</w:t>
        </w:r>
      </w:hyperlink>
      <w:r>
        <w:t xml:space="preserve">.</w:t>
      </w:r>
    </w:p>
    <w:bookmarkEnd w:id="260"/>
    <w:bookmarkStart w:id="261"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1"/>
    <w:bookmarkStart w:id="262"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62"/>
    <w:bookmarkStart w:id="264"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3">
        <w:r>
          <w:rPr>
            <w:rStyle w:val="Hyperlink"/>
          </w:rPr>
          <w:t xml:space="preserve">https://doi.org/10.1109/TGRS.2008.2002881</w:t>
        </w:r>
      </w:hyperlink>
      <w:r>
        <w:t xml:space="preserve">.</w:t>
      </w:r>
    </w:p>
    <w:bookmarkEnd w:id="264"/>
    <w:bookmarkStart w:id="266"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5">
        <w:r>
          <w:rPr>
            <w:rStyle w:val="Hyperlink"/>
          </w:rPr>
          <w:t xml:space="preserve">https://doi.org/10.1109/TGRS.2022.3147472</w:t>
        </w:r>
      </w:hyperlink>
      <w:r>
        <w:t xml:space="preserve">.</w:t>
      </w:r>
    </w:p>
    <w:bookmarkEnd w:id="266"/>
    <w:bookmarkStart w:id="268"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7">
        <w:r>
          <w:rPr>
            <w:rStyle w:val="Hyperlink"/>
          </w:rPr>
          <w:t xml:space="preserve">https://doi.org/10.1109/TGRS.2011.2120616</w:t>
        </w:r>
      </w:hyperlink>
      <w:r>
        <w:t xml:space="preserve">.</w:t>
      </w:r>
    </w:p>
    <w:bookmarkEnd w:id="268"/>
    <w:bookmarkStart w:id="27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69">
        <w:r>
          <w:rPr>
            <w:rStyle w:val="Hyperlink"/>
          </w:rPr>
          <w:t xml:space="preserve">https://doi.org/10.1109/LGRS.2017.2753580</w:t>
        </w:r>
      </w:hyperlink>
      <w:r>
        <w:t xml:space="preserve">.</w:t>
      </w:r>
    </w:p>
    <w:bookmarkEnd w:id="270"/>
    <w:bookmarkStart w:id="27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1">
        <w:r>
          <w:rPr>
            <w:rStyle w:val="Hyperlink"/>
          </w:rPr>
          <w:t xml:space="preserve">https://doi.org/10.1109/TGRS.2010.2051333</w:t>
        </w:r>
      </w:hyperlink>
      <w:r>
        <w:t xml:space="preserve">.</w:t>
      </w:r>
    </w:p>
    <w:bookmarkEnd w:id="272"/>
    <w:bookmarkEnd w:id="273"/>
    <w:p>
      <w:r>
        <w:br w:type="page"/>
      </w:r>
    </w:p>
    <w:bookmarkEnd w:id="274"/>
    <w:bookmarkStart w:id="277" w:name="annex"/>
    <w:p>
      <w:pPr>
        <w:pStyle w:val="berschrift2"/>
      </w:pPr>
      <w:r>
        <w:t xml:space="preserve">Annex</w:t>
      </w:r>
    </w:p>
    <w:bookmarkStart w:id="276"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9"/>
        </w:numPr>
      </w:pPr>
      <w:r>
        <w:t xml:space="preserve">Apply instrument calibration to produce Beta-Nought values with high fidelity.</w:t>
      </w:r>
    </w:p>
    <w:p>
      <w:pPr>
        <w:pStyle w:val="Compact"/>
        <w:numPr>
          <w:ilvl w:val="0"/>
          <w:numId w:val="109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9"/>
        </w:numPr>
      </w:pPr>
      <w:r>
        <w:t xml:space="preserve">Generate CEOS format metadata to accompany product layers.</w:t>
      </w:r>
    </w:p>
    <w:p>
      <w:pPr>
        <w:pStyle w:val="Compact"/>
        <w:numPr>
          <w:ilvl w:val="0"/>
          <w:numId w:val="109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5"/>
    <w:bookmarkEnd w:id="276"/>
    <w:bookmarkEnd w:id="277"/>
    <w:bookmarkEnd w:id="27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9" Target="https://doi.org/10.1109/LGRS.2017.2753580" TargetMode="External" /><Relationship Type="http://schemas.openxmlformats.org/officeDocument/2006/relationships/hyperlink" Id="rId263" Target="https://doi.org/10.1109/TGRS.2008.2002881" TargetMode="External" /><Relationship Type="http://schemas.openxmlformats.org/officeDocument/2006/relationships/hyperlink" Id="rId271" Target="https://doi.org/10.1109/TGRS.2010.2051333" TargetMode="External" /><Relationship Type="http://schemas.openxmlformats.org/officeDocument/2006/relationships/hyperlink" Id="rId267" Target="https://doi.org/10.1109/TGRS.2011.2120616" TargetMode="External" /><Relationship Type="http://schemas.openxmlformats.org/officeDocument/2006/relationships/hyperlink" Id="rId265" Target="https://doi.org/10.1109/TGRS.2022.3147472" TargetMode="External" /><Relationship Type="http://schemas.openxmlformats.org/officeDocument/2006/relationships/hyperlink" Id="rId25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Normalised Radar Backscatter - Version 5.6.0-draft</dc:title>
  <dc:creator/>
  <dc:language>en</dc:language>
  <cp:keywords/>
  <dcterms:created xsi:type="dcterms:W3CDTF">2026-07-29T17:32:06Z</dcterms:created>
  <dcterms:modified xsi:type="dcterms:W3CDTF">2026-07-29T17:32:06Z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