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4" name="Picture"/>
            <a:graphic>
              <a:graphicData uri="http://schemas.openxmlformats.org/drawingml/2006/picture">
                <pic:pic>
                  <pic:nvPicPr>
                    <pic:cNvPr descr="assets/CEOS_logo_colour_black_text_right.png" id="25" name="Picture"/>
                    <pic:cNvPicPr>
                      <a:picLocks noChangeArrowheads="1" noChangeAspect="1"/>
                    </pic:cNvPicPr>
                  </pic:nvPicPr>
                  <pic:blipFill>
                    <a:blip r:embed="rId23"/>
                    <a:stretch>
                      <a:fillRect/>
                    </a:stretch>
                  </pic:blipFill>
                  <pic:spPr bwMode="auto">
                    <a:xfrm>
                      <a:off x="0" y="0"/>
                      <a:ext cx="5727700" cy="1381957"/>
                    </a:xfrm>
                    <a:prstGeom prst="rect">
                      <a:avLst/>
                    </a:prstGeom>
                    <a:noFill/>
                    <a:ln w="9525">
                      <a:noFill/>
                      <a:headEnd/>
                      <a:tailEnd/>
                    </a:ln>
                  </pic:spPr>
                </pic:pic>
              </a:graphicData>
            </a:graphic>
          </wp:inline>
        </w:drawing>
      </w:r>
    </w:p>
    <w:bookmarkStart w:id="201" w:name="ceos-ard---optical---surface-temperature"/>
    <w:p>
      <w:pPr>
        <w:pStyle w:val="berschrift1"/>
      </w:pPr>
      <w:r>
        <w:t xml:space="preserve">CEOS-ARD - Optical - Surface Temperature</w:t>
      </w:r>
    </w:p>
    <w:p>
      <w:pPr>
        <w:pStyle w:val="FirstParagraph"/>
      </w:pPr>
      <w:r>
        <w:t xml:space="preserve"> </w:t>
      </w:r>
    </w:p>
    <w:bookmarkStart w:id="27" w:name="draft-version"/>
    <w:p>
      <w:pPr>
        <w:pStyle w:val="berschrift2"/>
      </w:pPr>
      <w:r>
        <w:t xml:space="preserve">Draft Version</w:t>
      </w:r>
    </w:p>
    <w:p>
      <w:pPr>
        <w:pStyle w:val="FirstParagraph"/>
      </w:pPr>
      <w:r>
        <w:t xml:space="preserve">This is a draft version.</w:t>
      </w:r>
      <w:r>
        <w:t xml:space="preserve"> </w:t>
      </w:r>
      <w:r>
        <w:t xml:space="preserve">Please visit the</w:t>
      </w:r>
      <w:r>
        <w:t xml:space="preserve"> </w:t>
      </w:r>
      <w:hyperlink r:id="rId26">
        <w:r>
          <w:rPr>
            <w:rStyle w:val="Hyperlink"/>
          </w:rPr>
          <w:t xml:space="preserve">CEOS-ARD website</w:t>
        </w:r>
      </w:hyperlink>
      <w:r>
        <w:t xml:space="preserve"> </w:t>
      </w:r>
      <w:r>
        <w:t xml:space="preserve">for the latest endorsed version of this document.</w:t>
      </w:r>
    </w:p>
    <w:bookmarkEnd w:id="27"/>
    <w:bookmarkStart w:id="29" w:name="document-status"/>
    <w:p>
      <w:pPr>
        <w:pStyle w:val="berschrift2"/>
      </w:pPr>
      <w:r>
        <w:t xml:space="preserve">Document Status</w:t>
      </w:r>
    </w:p>
    <w:p>
      <w:pPr>
        <w:pStyle w:val="FirstParagraph"/>
      </w:pPr>
      <w:r>
        <w:t xml:space="preserve">Product Family Specification, Optical, Surface Temperature</w:t>
      </w:r>
    </w:p>
    <w:p>
      <w:pPr>
        <w:pStyle w:val="Textkrper"/>
      </w:pPr>
      <w:r>
        <w:t xml:space="preserve">Proposed revisions may be provided to:</w:t>
      </w:r>
      <w:r>
        <w:t xml:space="preserve"> </w:t>
      </w:r>
      <w:hyperlink r:id="rId28">
        <w:r>
          <w:rPr>
            <w:rStyle w:val="Hyperlink"/>
          </w:rPr>
          <w:t xml:space="preserve">ard-contact@lists.ceos.org</w:t>
        </w:r>
      </w:hyperlink>
    </w:p>
    <w:bookmarkEnd w:id="29"/>
    <w:bookmarkStart w:id="31" w:name="document-history"/>
    <w:p>
      <w:pPr>
        <w:pStyle w:val="berschrift2"/>
      </w:pPr>
      <w:r>
        <w:t xml:space="preserve">Document History</w:t>
      </w:r>
    </w:p>
    <w:bookmarkStart w:id="30"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Split</w:t>
      </w:r>
      <w:r>
        <w:t xml:space="preserve"> </w:t>
      </w:r>
      <w:r>
        <w:t xml:space="preserve">“Applies to”</w:t>
      </w:r>
      <w:r>
        <w:t xml:space="preserve"> </w:t>
      </w:r>
      <w:r>
        <w:t xml:space="preserve">section into</w:t>
      </w:r>
      <w:r>
        <w:t xml:space="preserve"> </w:t>
      </w:r>
      <w:r>
        <w:t xml:space="preserve">“Applies to”</w:t>
      </w:r>
      <w:r>
        <w:t xml:space="preserve"> </w:t>
      </w:r>
      <w:r>
        <w:t xml:space="preserve">and</w:t>
      </w:r>
      <w:r>
        <w:t xml:space="preserve"> </w:t>
      </w:r>
      <w:r>
        <w:t xml:space="preserve">“Background”</w:t>
      </w:r>
      <w:r>
        <w:t xml:space="preserve"> </w:t>
      </w:r>
      <w:r>
        <w:t xml:space="preserve">sections</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1.9: Removed</w:t>
      </w:r>
      <w:r>
        <w:t xml:space="preserve"> </w:t>
      </w:r>
      <w:r>
        <w:t xml:space="preserve">“on instrument”</w:t>
      </w:r>
      <w:r>
        <w:t xml:space="preserve"> </w:t>
      </w:r>
      <w:r>
        <w:t xml:space="preserve">from</w:t>
      </w:r>
      <w:r>
        <w:t xml:space="preserve"> </w:t>
      </w:r>
      <w:r>
        <w:t xml:space="preserve">“As threshold, but information on instrument should be available”</w:t>
      </w:r>
      <w:r>
        <w:t xml:space="preserve">.</w:t>
      </w:r>
    </w:p>
    <w:p>
      <w:pPr>
        <w:pStyle w:val="Compact"/>
        <w:numPr>
          <w:ilvl w:val="0"/>
          <w:numId w:val="1001"/>
        </w:numPr>
      </w:pPr>
      <w:r>
        <w:t xml:space="preserve">Former req. 2.3: Replaced the wording</w:t>
      </w:r>
      <w:r>
        <w:t xml:space="preserve"> </w:t>
      </w:r>
      <w:r>
        <w:t xml:space="preserve">“e.g., due to missing ancillary data for some pixels.”</w:t>
      </w:r>
      <w:r>
        <w:t xml:space="preserve"> </w:t>
      </w:r>
      <w:r>
        <w:t xml:space="preserve">with</w:t>
      </w:r>
      <w:r>
        <w:t xml:space="preserve"> </w:t>
      </w:r>
      <w:r>
        <w:t xml:space="preserve">“This may be the result of missing ancillary data for a subset of the pixels.”</w:t>
      </w:r>
    </w:p>
    <w:p>
      <w:pPr>
        <w:pStyle w:val="Compact"/>
        <w:numPr>
          <w:ilvl w:val="0"/>
          <w:numId w:val="1001"/>
        </w:numPr>
      </w:pPr>
      <w:r>
        <w:t xml:space="preserve">Annex has been reformatted and updated</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30"/>
    <w:bookmarkEnd w:id="31"/>
    <w:bookmarkStart w:id="32" w:name="contributing-authors"/>
    <w:p>
      <w:pPr>
        <w:pStyle w:val="berschrift2"/>
      </w:pPr>
      <w:r>
        <w:t xml:space="preserve">Contributing Authors</w:t>
      </w:r>
    </w:p>
    <w:p>
      <w:pPr>
        <w:pStyle w:val="Compact"/>
        <w:numPr>
          <w:ilvl w:val="0"/>
          <w:numId w:val="1002"/>
        </w:numPr>
      </w:pPr>
      <w:r>
        <w:t xml:space="preserve">Adam Lewis, Geoscience Australia, Australia</w:t>
      </w:r>
    </w:p>
    <w:p>
      <w:pPr>
        <w:pStyle w:val="Compact"/>
        <w:numPr>
          <w:ilvl w:val="0"/>
          <w:numId w:val="1002"/>
        </w:numPr>
      </w:pPr>
      <w:r>
        <w:t xml:space="preserve">Jonathon Ross, Geoscience Australia, Australia</w:t>
      </w:r>
    </w:p>
    <w:p>
      <w:pPr>
        <w:pStyle w:val="Compact"/>
        <w:numPr>
          <w:ilvl w:val="0"/>
          <w:numId w:val="1002"/>
        </w:numPr>
      </w:pPr>
      <w:r>
        <w:t xml:space="preserve">Andreia Siqueira, Geoscience Australia, Australia</w:t>
      </w:r>
    </w:p>
    <w:p>
      <w:pPr>
        <w:pStyle w:val="Compact"/>
        <w:numPr>
          <w:ilvl w:val="0"/>
          <w:numId w:val="1002"/>
        </w:numPr>
      </w:pPr>
      <w:r>
        <w:t xml:space="preserve">Darcie Bontje, USGS, USA</w:t>
      </w:r>
    </w:p>
    <w:p>
      <w:pPr>
        <w:pStyle w:val="Compact"/>
        <w:numPr>
          <w:ilvl w:val="0"/>
          <w:numId w:val="1002"/>
        </w:numPr>
      </w:pPr>
      <w:r>
        <w:t xml:space="preserve">Steve Labahn, USGS, USA</w:t>
      </w:r>
    </w:p>
    <w:p>
      <w:pPr>
        <w:pStyle w:val="Compact"/>
        <w:numPr>
          <w:ilvl w:val="0"/>
          <w:numId w:val="1002"/>
        </w:numPr>
      </w:pPr>
      <w:r>
        <w:t xml:space="preserve">Mary Metzger, USGS, USA</w:t>
      </w:r>
    </w:p>
    <w:p>
      <w:r>
        <w:br w:type="page"/>
      </w:r>
    </w:p>
    <w:bookmarkEnd w:id="32"/>
    <w:bookmarkStart w:id="33"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3"/>
    <w:bookmarkStart w:id="34" w:name="description"/>
    <w:p>
      <w:pPr>
        <w:pStyle w:val="berschrift2"/>
      </w:pPr>
      <w:r>
        <w:t xml:space="preserve">Description</w:t>
      </w:r>
    </w:p>
    <w:p>
      <w:pPr>
        <w:pStyle w:val="FirstParagraph"/>
      </w:pPr>
      <w:r>
        <w:rPr>
          <w:b/>
          <w:bCs/>
        </w:rPr>
        <w:t xml:space="preserve">Product Family Specification:</w:t>
      </w:r>
      <w:r>
        <w:t xml:space="preserve"> </w:t>
      </w:r>
      <w:r>
        <w:t xml:space="preserve">Optical, Surface Temperature (ST)</w:t>
      </w:r>
    </w:p>
    <w:p>
      <w:pPr>
        <w:pStyle w:val="Textkrper"/>
      </w:pPr>
      <w:r>
        <w:rPr>
          <w:b/>
          <w:bCs/>
        </w:rPr>
        <w:t xml:space="preserve">Version:</w:t>
      </w:r>
      <w:r>
        <w:t xml:space="preserve"> </w:t>
      </w:r>
      <w:r>
        <w:t xml:space="preserve">5.0.1-draft</w:t>
      </w:r>
    </w:p>
    <w:p>
      <w:pPr>
        <w:pStyle w:val="Textkrper"/>
      </w:pPr>
      <w:r>
        <w:rPr>
          <w:b/>
          <w:bCs/>
        </w:rPr>
        <w:t xml:space="preserve">Applies to:</w:t>
      </w:r>
      <w:r>
        <w:t xml:space="preserve"> </w:t>
      </w:r>
      <w:r>
        <w:t xml:space="preserve">Data collected with multispectral sensors operating in the thermal infrared (TIR) wavelengths. These typically operate with ground sample distance and resolution in the order of 10-100m; however, the Specification is not inherently limited to this resolution.</w:t>
      </w:r>
    </w:p>
    <w:bookmarkEnd w:id="34"/>
    <w:bookmarkStart w:id="35" w:name="background"/>
    <w:p>
      <w:pPr>
        <w:pStyle w:val="berschrift2"/>
      </w:pPr>
      <w:r>
        <w:t xml:space="preserve">Background</w:t>
      </w:r>
    </w:p>
    <w:p>
      <w:pPr>
        <w:pStyle w:val="FirstParagraph"/>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End w:id="35"/>
    <w:bookmarkStart w:id="36" w:name="definitions-and-abbreviations"/>
    <w:p>
      <w:pPr>
        <w:pStyle w:val="berschrift2"/>
      </w:pPr>
      <w:r>
        <w:t xml:space="preserve">Definitions and Abbreviations</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LST</w:t>
      </w:r>
    </w:p>
    <w:p>
      <w:pPr>
        <w:pStyle w:val="Definition"/>
      </w:pPr>
      <w:r>
        <w:t xml:space="preserve">Land Surface Temperature</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r>
        <w:br w:type="page"/>
      </w:r>
    </w:p>
    <w:bookmarkEnd w:id="36"/>
    <w:bookmarkStart w:id="159"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7"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42" w:name="sec:meta-trace-st"/>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meta-trace-st</w:t>
      </w:r>
    </w:p>
    <w:bookmarkStart w:id="37" w:name="threshold-requirements"/>
    <w:p>
      <w:pPr>
        <w:pStyle w:val="berschrift5"/>
      </w:pPr>
      <w:r>
        <w:t xml:space="preserve">Threshold requirements:</w:t>
      </w:r>
    </w:p>
    <w:p>
      <w:pPr>
        <w:pStyle w:val="FirstParagraph"/>
      </w:pPr>
      <w:r>
        <w:t xml:space="preserve">Not required.</w:t>
      </w:r>
      <w:r>
        <w:t xml:space="preserve"> </w:t>
      </w:r>
    </w:p>
    <w:bookmarkEnd w:id="37"/>
    <w:bookmarkStart w:id="40" w:name="goal-requirements"/>
    <w:p>
      <w:pPr>
        <w:pStyle w:val="berschrift5"/>
      </w:pPr>
      <w:r>
        <w:t xml:space="preserve">Goal requirements:</w:t>
      </w:r>
    </w:p>
    <w:p>
      <w:pPr>
        <w:pStyle w:val="FirstParagraph"/>
      </w:pPr>
      <w:r>
        <w:t xml:space="preserve">Data must be traceable to SI reference standard.</w:t>
      </w:r>
      <w:r>
        <w:t xml:space="preserve"> </w:t>
      </w:r>
      <w:r>
        <w:t xml:space="preserve">Information on traceability should be available in the metadata as a single DOI landing page.</w:t>
      </w:r>
    </w:p>
    <w:p>
      <w:pPr>
        <w:pStyle w:val="Compact"/>
        <w:numPr>
          <w:ilvl w:val="0"/>
          <w:numId w:val="1003"/>
        </w:numPr>
      </w:pPr>
      <w:hyperlink r:id="rId38">
        <w:r>
          <w:rPr>
            <w:rStyle w:val="Hyperlink"/>
          </w:rPr>
          <w:t xml:space="preserve">Policy on measurement traceability</w:t>
        </w:r>
      </w:hyperlink>
    </w:p>
    <w:p>
      <w:pPr>
        <w:pStyle w:val="Compact"/>
        <w:numPr>
          <w:ilvl w:val="0"/>
          <w:numId w:val="1003"/>
        </w:numPr>
      </w:pPr>
      <w:hyperlink r:id="rId39">
        <w:r>
          <w:rPr>
            <w:rStyle w:val="Hyperlink"/>
          </w:rPr>
          <w:t xml:space="preserve">Guidance on measurement traceability</w:t>
        </w:r>
      </w:hyperlink>
    </w:p>
    <w:p>
      <w:pPr>
        <w:pStyle w:val="FirstParagraph"/>
      </w:pPr>
      <w:r>
        <w:t xml:space="preserve">Note:</w:t>
      </w:r>
    </w:p>
    <w:p>
      <w:pPr>
        <w:pStyle w:val="Compact"/>
        <w:numPr>
          <w:ilvl w:val="0"/>
          <w:numId w:val="1004"/>
        </w:numPr>
      </w:pPr>
      <w:r>
        <w:t xml:space="preserve">SI Traceability requires an estimate of measurement uncertainty.</w:t>
      </w:r>
    </w:p>
    <w:bookmarkEnd w:id="40"/>
    <w:bookmarkStart w:id="41" w:name="assessment"/>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mare-optical"/>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meta-memare-optical</w:t>
      </w:r>
    </w:p>
    <w:bookmarkStart w:id="43"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43"/>
    <w:bookmarkStart w:id="44"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44"/>
    <w:bookmarkStart w:id="45" w:name="assessment-1"/>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time-st"/>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meta-time-st</w:t>
      </w:r>
    </w:p>
    <w:bookmarkStart w:id="47" w:name="threshold-requirements-2"/>
    <w:p>
      <w:pPr>
        <w:pStyle w:val="berschrift5"/>
      </w:pPr>
      <w:r>
        <w:t xml:space="preserve">Threshold requirements:</w:t>
      </w:r>
    </w:p>
    <w:p>
      <w:pPr>
        <w:pStyle w:val="FirstParagraph"/>
      </w:pPr>
      <w:r>
        <w:t xml:space="preserve">The start and stop time of data collection is identified in the metadata, expressed in date/time, to the second, with the time offset from UTC unambiguously identified.</w:t>
      </w:r>
    </w:p>
    <w:bookmarkEnd w:id="47"/>
    <w:bookmarkStart w:id="48"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8"/>
    <w:bookmarkStart w:id="49"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9"/>
    <w:bookmarkEnd w:id="50"/>
    <w:bookmarkStart w:id="54" w:name="sec:meta-geoarea-st"/>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meta-geoarea-st</w:t>
      </w:r>
    </w:p>
    <w:bookmarkStart w:id="51" w:name="threshold-requirements-3"/>
    <w:p>
      <w:pPr>
        <w:pStyle w:val="berschrift5"/>
      </w:pPr>
      <w:r>
        <w:t xml:space="preserve">Threshold requirements:</w:t>
      </w:r>
    </w:p>
    <w:p>
      <w:pPr>
        <w:pStyle w:val="FirstParagraph"/>
      </w:pPr>
      <w:r>
        <w:t xml:space="preserve">The surface location to which the data relates is identified, typically as a series of four corner points, expressed in an accepted coordinate reference system (e.g., WGS84 coordinates).</w:t>
      </w:r>
    </w:p>
    <w:bookmarkEnd w:id="51"/>
    <w:bookmarkStart w:id="52"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w:t>
      </w:r>
    </w:p>
    <w:bookmarkEnd w:id="52"/>
    <w:bookmarkStart w:id="53" w:name="assessment-3"/>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3"/>
    <w:bookmarkEnd w:id="54"/>
    <w:bookmarkStart w:id="58" w:name="sec:meta-crs-optical"/>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meta-crs-optical</w:t>
      </w:r>
    </w:p>
    <w:bookmarkStart w:id="55" w:name="threshold-requirements-4"/>
    <w:p>
      <w:pPr>
        <w:pStyle w:val="berschrift5"/>
      </w:pPr>
      <w:r>
        <w:t xml:space="preserve">Threshold requirements:</w:t>
      </w:r>
    </w:p>
    <w:p>
      <w:pPr>
        <w:pStyle w:val="FirstParagraph"/>
      </w:pPr>
      <w:r>
        <w:t xml:space="preserve">The metadata lists the coordinate reference system that has been used.</w:t>
      </w:r>
    </w:p>
    <w:bookmarkEnd w:id="55"/>
    <w:bookmarkStart w:id="56" w:name="goal-requirements-4"/>
    <w:p>
      <w:pPr>
        <w:pStyle w:val="berschrift5"/>
      </w:pPr>
      <w:r>
        <w:t xml:space="preserve">Goal requirements:</w:t>
      </w:r>
    </w:p>
    <w:p>
      <w:pPr>
        <w:pStyle w:val="FirstParagraph"/>
      </w:pPr>
      <w:r>
        <w:t xml:space="preserve">As threshold.</w:t>
      </w:r>
      <w:r>
        <w:t xml:space="preserve"> </w:t>
      </w:r>
    </w:p>
    <w:bookmarkEnd w:id="56"/>
    <w:bookmarkStart w:id="57" w:name="assessment-4"/>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7"/>
    <w:bookmarkEnd w:id="58"/>
    <w:bookmarkStart w:id="62" w:name="sec:meta-mapproj-st"/>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meta-mapproj-st</w:t>
      </w:r>
    </w:p>
    <w:bookmarkStart w:id="59" w:name="threshold-requirements-5"/>
    <w:p>
      <w:pPr>
        <w:pStyle w:val="berschrift5"/>
      </w:pPr>
      <w:r>
        <w:t xml:space="preserve">Threshold requirements:</w:t>
      </w:r>
    </w:p>
    <w:p>
      <w:pPr>
        <w:pStyle w:val="FirstParagraph"/>
      </w:pPr>
      <w:r>
        <w:t xml:space="preserve">Not required.</w:t>
      </w:r>
      <w:r>
        <w:t xml:space="preserve"> </w:t>
      </w:r>
    </w:p>
    <w:bookmarkEnd w:id="59"/>
    <w:bookmarkStart w:id="60" w:name="goal-requirements-5"/>
    <w:p>
      <w:pPr>
        <w:pStyle w:val="berschrift5"/>
      </w:pPr>
      <w:r>
        <w:t xml:space="preserve">Goal requirements:</w:t>
      </w:r>
    </w:p>
    <w:p>
      <w:pPr>
        <w:pStyle w:val="FirstParagraph"/>
      </w:pPr>
      <w:r>
        <w:t xml:space="preserve">The metadata lists the map projection that has been used, if any, and any relevant parameters required in relation to use of data in that map projection.</w:t>
      </w:r>
    </w:p>
    <w:bookmarkEnd w:id="60"/>
    <w:bookmarkStart w:id="61" w:name="assessment-5"/>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61"/>
    <w:bookmarkEnd w:id="62"/>
    <w:bookmarkStart w:id="66" w:name="sec:meta-geocorm-st"/>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meta-geocorm-st</w:t>
      </w:r>
    </w:p>
    <w:bookmarkStart w:id="63" w:name="threshold-requirements-6"/>
    <w:p>
      <w:pPr>
        <w:pStyle w:val="berschrift5"/>
      </w:pPr>
      <w:r>
        <w:t xml:space="preserve">Threshold requirements:</w:t>
      </w:r>
    </w:p>
    <w:p>
      <w:pPr>
        <w:pStyle w:val="FirstParagraph"/>
      </w:pPr>
      <w:r>
        <w:t xml:space="preserve">Not required.</w:t>
      </w:r>
      <w:r>
        <w:t xml:space="preserve"> </w:t>
      </w:r>
    </w:p>
    <w:bookmarkEnd w:id="63"/>
    <w:bookmarkStart w:id="64"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containing information on geodetic correction methods used, including reference database and auxiliary data such as elevation model(s) and reference chip-sets.</w:t>
      </w:r>
    </w:p>
    <w:bookmarkEnd w:id="64"/>
    <w:bookmarkStart w:id="65" w:name="assessment-6"/>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5"/>
    <w:bookmarkEnd w:id="66"/>
    <w:bookmarkStart w:id="70" w:name="sec:meta-geoacc-st"/>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meta-geoacc-st</w:t>
      </w:r>
    </w:p>
    <w:bookmarkStart w:id="67" w:name="threshold-requirements-7"/>
    <w:p>
      <w:pPr>
        <w:pStyle w:val="berschrift5"/>
      </w:pPr>
      <w:r>
        <w:t xml:space="preserve">Threshold requirements:</w:t>
      </w:r>
    </w:p>
    <w:p>
      <w:pPr>
        <w:pStyle w:val="FirstParagraph"/>
      </w:pPr>
      <w:r>
        <w:t xml:space="preserve">Not required.</w:t>
      </w:r>
      <w:r>
        <w:t xml:space="preserve"> </w:t>
      </w:r>
    </w:p>
    <w:bookmarkEnd w:id="67"/>
    <w:bookmarkStart w:id="68"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as root mean square error (RMSE) or Circular Error 90% Probability (CEP90).</w:t>
      </w:r>
    </w:p>
    <w:p>
      <w:pPr>
        <w:pStyle w:val="Textkrper"/>
      </w:pPr>
      <w:r>
        <w:t xml:space="preserve">Note:</w:t>
      </w:r>
    </w:p>
    <w:p>
      <w:pPr>
        <w:pStyle w:val="Compact"/>
        <w:numPr>
          <w:ilvl w:val="0"/>
          <w:numId w:val="1012"/>
        </w:numPr>
      </w:pPr>
      <w:r>
        <w:t xml:space="preserve">Information on geometric accuracy of the data should be available in the metadata as a single DOI landing page.</w:t>
      </w:r>
    </w:p>
    <w:bookmarkEnd w:id="68"/>
    <w:bookmarkStart w:id="69" w:name="assessment-7"/>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9"/>
    <w:bookmarkEnd w:id="70"/>
    <w:bookmarkStart w:id="74" w:name="sec:meta-instru-optical"/>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meta-instru-optical</w:t>
      </w:r>
    </w:p>
    <w:bookmarkStart w:id="71" w:name="threshold-requirements-8"/>
    <w:p>
      <w:pPr>
        <w:pStyle w:val="berschrift5"/>
      </w:pPr>
      <w:r>
        <w:t xml:space="preserve">Threshold requirements:</w:t>
      </w:r>
    </w:p>
    <w:p>
      <w:pPr>
        <w:pStyle w:val="FirstParagraph"/>
      </w:pPr>
      <w:r>
        <w:t xml:space="preserve">The instrument used to collect the data is identified in the metadata.</w:t>
      </w:r>
    </w:p>
    <w:bookmarkEnd w:id="71"/>
    <w:bookmarkStart w:id="72"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72"/>
    <w:bookmarkStart w:id="73" w:name="assessment-8"/>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3"/>
    <w:bookmarkEnd w:id="74"/>
    <w:bookmarkStart w:id="78" w:name="sec:meta-specba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meta-specband</w:t>
      </w:r>
    </w:p>
    <w:bookmarkStart w:id="75"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75"/>
    <w:bookmarkStart w:id="76"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w:t>
      </w:r>
    </w:p>
    <w:p>
      <w:pPr>
        <w:pStyle w:val="Compact"/>
        <w:numPr>
          <w:ilvl w:val="0"/>
          <w:numId w:val="1015"/>
        </w:numPr>
      </w:pPr>
      <w:r>
        <w:t xml:space="preserve">Information on spectral bands should be available in the metadata as a single DOI landing page.</w:t>
      </w:r>
    </w:p>
    <w:bookmarkEnd w:id="76"/>
    <w:bookmarkStart w:id="77" w:name="assessment-9"/>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77"/>
    <w:bookmarkEnd w:id="78"/>
    <w:bookmarkStart w:id="82" w:name="sec:meta-sencal-optical"/>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meta-sencal-optical</w:t>
      </w:r>
    </w:p>
    <w:bookmarkStart w:id="79" w:name="threshold-requirements-10"/>
    <w:p>
      <w:pPr>
        <w:pStyle w:val="berschrift5"/>
      </w:pPr>
      <w:r>
        <w:t xml:space="preserve">Threshold requirements:</w:t>
      </w:r>
    </w:p>
    <w:p>
      <w:pPr>
        <w:pStyle w:val="FirstParagraph"/>
      </w:pPr>
      <w:r>
        <w:t xml:space="preserve">Not required.</w:t>
      </w:r>
      <w:r>
        <w:t xml:space="preserve"> </w:t>
      </w:r>
    </w:p>
    <w:bookmarkEnd w:id="79"/>
    <w:bookmarkStart w:id="80"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w:t>
      </w:r>
    </w:p>
    <w:p>
      <w:pPr>
        <w:pStyle w:val="Compact"/>
        <w:numPr>
          <w:ilvl w:val="0"/>
          <w:numId w:val="1017"/>
        </w:numPr>
      </w:pPr>
      <w:r>
        <w:t xml:space="preserve">Information on sensory calibration should be available in the metadata as a single DOI landing page.</w:t>
      </w:r>
    </w:p>
    <w:bookmarkEnd w:id="80"/>
    <w:bookmarkStart w:id="81"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81"/>
    <w:bookmarkEnd w:id="82"/>
    <w:bookmarkStart w:id="86" w:name="sec:meta-radacc-st"/>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meta-radacc-st</w:t>
      </w:r>
    </w:p>
    <w:bookmarkStart w:id="83" w:name="threshold-requirements-11"/>
    <w:p>
      <w:pPr>
        <w:pStyle w:val="berschrift5"/>
      </w:pPr>
      <w:r>
        <w:t xml:space="preserve">Threshold requirements:</w:t>
      </w:r>
    </w:p>
    <w:p>
      <w:pPr>
        <w:pStyle w:val="FirstParagraph"/>
      </w:pPr>
      <w:r>
        <w:t xml:space="preserve">Not required.</w:t>
      </w:r>
      <w:r>
        <w:t xml:space="preserve"> </w:t>
      </w:r>
    </w:p>
    <w:bookmarkEnd w:id="83"/>
    <w:bookmarkStart w:id="84" w:name="goal-requirements-11"/>
    <w:p>
      <w:pPr>
        <w:pStyle w:val="berschrift5"/>
      </w:pPr>
      <w:r>
        <w:t xml:space="preserve">Goal requirements:</w:t>
      </w:r>
    </w:p>
    <w:p>
      <w:pPr>
        <w:pStyle w:val="FirstParagraph"/>
      </w:pPr>
      <w:r>
        <w:t xml:space="preserve">Information on radiometric accuracy should be available in the metadata as a single DOI landing page providing information on metrics describing the assessed absolute radiometric accuracy of the data, expressed as absolute radiometric uncertainty relative to a known reference standard.</w:t>
      </w:r>
    </w:p>
    <w:p>
      <w:pPr>
        <w:pStyle w:val="Textkrper"/>
      </w:pPr>
      <w:r>
        <w:t xml:space="preserve">Note:</w:t>
      </w:r>
    </w:p>
    <w:p>
      <w:pPr>
        <w:pStyle w:val="Compact"/>
        <w:numPr>
          <w:ilvl w:val="0"/>
          <w:numId w:val="1019"/>
        </w:numPr>
      </w:pPr>
      <w:r>
        <w:t xml:space="preserve">For example, this may come from comparison with routine and rigorously collected in situ measurements.</w:t>
      </w:r>
    </w:p>
    <w:bookmarkEnd w:id="84"/>
    <w:bookmarkStart w:id="85"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5"/>
    <w:bookmarkEnd w:id="86"/>
    <w:bookmarkStart w:id="90" w:name="sec:meta-malgos-st"/>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meta-malgos-st</w:t>
      </w:r>
    </w:p>
    <w:bookmarkStart w:id="87" w:name="threshold-requirements-12"/>
    <w:p>
      <w:pPr>
        <w:pStyle w:val="berschrift5"/>
      </w:pPr>
      <w:r>
        <w:t xml:space="preserve">Threshold requirements:</w:t>
      </w:r>
    </w:p>
    <w:p>
      <w:pPr>
        <w:pStyle w:val="FirstParagraph"/>
      </w:pPr>
      <w:r>
        <w:t xml:space="preserve">All algorithms and versions, and the sequence in which they were applied in the generation process, are identified in the metadata.</w:t>
      </w:r>
    </w:p>
    <w:bookmarkEnd w:id="87"/>
    <w:bookmarkStart w:id="88"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8"/>
    <w:bookmarkStart w:id="89"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9"/>
    <w:bookmarkEnd w:id="90"/>
    <w:bookmarkStart w:id="94" w:name="sec:meta-auxdat-optical"/>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meta-auxdat-optical</w:t>
      </w:r>
    </w:p>
    <w:bookmarkStart w:id="91"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w:t>
      </w:r>
    </w:p>
    <w:p>
      <w:pPr>
        <w:pStyle w:val="Compact"/>
        <w:numPr>
          <w:ilvl w:val="0"/>
          <w:numId w:val="1023"/>
        </w:numPr>
      </w:pPr>
      <w:r>
        <w:t xml:space="preserve">Auxiliary data includes DEMs, aerosols, etc. data sources.</w:t>
      </w:r>
    </w:p>
    <w:bookmarkEnd w:id="91"/>
    <w:bookmarkStart w:id="92"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92"/>
    <w:bookmarkStart w:id="93"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meta-proprov-st"/>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meta-proprov-st</w:t>
      </w:r>
    </w:p>
    <w:bookmarkStart w:id="95" w:name="threshold-requirements-14"/>
    <w:p>
      <w:pPr>
        <w:pStyle w:val="berschrift5"/>
      </w:pPr>
      <w:r>
        <w:t xml:space="preserve">Threshold requirements:</w:t>
      </w:r>
    </w:p>
    <w:p>
      <w:pPr>
        <w:pStyle w:val="FirstParagraph"/>
      </w:pPr>
      <w:r>
        <w:t xml:space="preserve">Not required.</w:t>
      </w:r>
      <w:r>
        <w:t xml:space="preserve"> </w:t>
      </w:r>
    </w:p>
    <w:bookmarkEnd w:id="95"/>
    <w:bookmarkStart w:id="96"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description of the processing chain used to generate the product, including the versions of the software used and information on the data collection baseline, giving full transparency to the users.</w:t>
      </w:r>
    </w:p>
    <w:bookmarkEnd w:id="96"/>
    <w:bookmarkStart w:id="97"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meta-dacces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meta-daccess</w:t>
      </w:r>
    </w:p>
    <w:bookmarkStart w:id="99"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w:t>
      </w:r>
    </w:p>
    <w:p>
      <w:pPr>
        <w:pStyle w:val="Compact"/>
        <w:numPr>
          <w:ilvl w:val="0"/>
          <w:numId w:val="1026"/>
        </w:numPr>
      </w:pPr>
      <w:r>
        <w:t xml:space="preserve">Manual and offline interaction action (e.g., login) may be required.</w:t>
      </w:r>
    </w:p>
    <w:bookmarkEnd w:id="99"/>
    <w:bookmarkStart w:id="100" w:name="goal-requirements-15"/>
    <w:p>
      <w:pPr>
        <w:pStyle w:val="berschrift5"/>
      </w:pPr>
      <w:r>
        <w:t xml:space="preserve">Goal requirements:</w:t>
      </w:r>
    </w:p>
    <w:p>
      <w:pPr>
        <w:pStyle w:val="FirstParagraph"/>
      </w:pPr>
      <w:r>
        <w:t xml:space="preserve">As threshold.</w:t>
      </w:r>
      <w:r>
        <w:t xml:space="preserve"> </w:t>
      </w:r>
    </w:p>
    <w:bookmarkEnd w:id="100"/>
    <w:bookmarkStart w:id="101"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101"/>
    <w:bookmarkEnd w:id="102"/>
    <w:bookmarkStart w:id="106" w:name="sec:meta-odqual-st"/>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meta-odqual-st</w:t>
      </w:r>
    </w:p>
    <w:bookmarkStart w:id="103" w:name="threshold-requirements-16"/>
    <w:p>
      <w:pPr>
        <w:pStyle w:val="berschrift5"/>
      </w:pPr>
      <w:r>
        <w:t xml:space="preserve">Threshold requirements:</w:t>
      </w:r>
    </w:p>
    <w:p>
      <w:pPr>
        <w:pStyle w:val="FirstParagraph"/>
      </w:pPr>
      <w:r>
        <w:t xml:space="preserve">Not required.</w:t>
      </w:r>
      <w:r>
        <w:t xml:space="preserve"> </w:t>
      </w:r>
    </w:p>
    <w:bookmarkEnd w:id="103"/>
    <w:bookmarkStart w:id="104" w:name="goal-requirements-16"/>
    <w:p>
      <w:pPr>
        <w:pStyle w:val="berschrift5"/>
      </w:pPr>
      <w:r>
        <w:t xml:space="preserve">Goal requirements:</w:t>
      </w:r>
    </w:p>
    <w:p>
      <w:pPr>
        <w:pStyle w:val="FirstParagraph"/>
      </w:pPr>
      <w:r>
        <w:t xml:space="preserve">The metadata includes details of the quality of the product based on quantitative assessment of the product with respect to high quality reference data with full traceability of the uncertainties. Validation and intercomparison statistics can provide the necessary quantification.</w:t>
      </w:r>
    </w:p>
    <w:bookmarkEnd w:id="104"/>
    <w:bookmarkStart w:id="105" w:name="assessment-16"/>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bookmarkEnd w:id="105"/>
    <w:bookmarkEnd w:id="106"/>
    <w:bookmarkEnd w:id="107"/>
    <w:bookmarkStart w:id="140"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11" w:name="sec:pxl-pimemare"/>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pxl-pimemare</w:t>
      </w:r>
    </w:p>
    <w:bookmarkStart w:id="108"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8"/>
    <w:bookmarkStart w:id="109" w:name="goal-requirements-17"/>
    <w:p>
      <w:pPr>
        <w:pStyle w:val="berschrift5"/>
      </w:pPr>
      <w:r>
        <w:t xml:space="preserve">Goal requirements:</w:t>
      </w:r>
    </w:p>
    <w:p>
      <w:pPr>
        <w:pStyle w:val="FirstParagraph"/>
      </w:pPr>
      <w:r>
        <w:t xml:space="preserve">As threshold.</w:t>
      </w:r>
      <w:r>
        <w:t xml:space="preserve"> </w:t>
      </w:r>
    </w:p>
    <w:bookmarkEnd w:id="109"/>
    <w:bookmarkStart w:id="110" w:name="assessment-17"/>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xl-pinoda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pxl-pinodat</w:t>
      </w:r>
    </w:p>
    <w:bookmarkStart w:id="112" w:name="threshold-requirements-18"/>
    <w:p>
      <w:pPr>
        <w:pStyle w:val="berschrift5"/>
      </w:pPr>
      <w:r>
        <w:t xml:space="preserve">Threshold requirements:</w:t>
      </w:r>
    </w:p>
    <w:p>
      <w:pPr>
        <w:pStyle w:val="FirstParagraph"/>
      </w:pPr>
      <w:r>
        <w:t xml:space="preserve">Pixels that do not correspond to an observation (‘empty pixels’) are flagged.</w:t>
      </w:r>
    </w:p>
    <w:bookmarkEnd w:id="112"/>
    <w:bookmarkStart w:id="113" w:name="goal-requirements-18"/>
    <w:p>
      <w:pPr>
        <w:pStyle w:val="berschrift5"/>
      </w:pPr>
      <w:r>
        <w:t xml:space="preserve">Goal requirements:</w:t>
      </w:r>
    </w:p>
    <w:p>
      <w:pPr>
        <w:pStyle w:val="FirstParagraph"/>
      </w:pPr>
      <w:r>
        <w:t xml:space="preserve">As threshold.</w:t>
      </w:r>
      <w:r>
        <w:t xml:space="preserve"> </w:t>
      </w:r>
    </w:p>
    <w:bookmarkEnd w:id="113"/>
    <w:bookmarkStart w:id="114" w:name="assessment-18"/>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4"/>
    <w:bookmarkEnd w:id="115"/>
    <w:bookmarkStart w:id="119" w:name="sec:pxl-pinco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pxl-pincot</w:t>
      </w:r>
    </w:p>
    <w:bookmarkStart w:id="116"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w:t>
      </w:r>
    </w:p>
    <w:p>
      <w:pPr>
        <w:pStyle w:val="Compact"/>
        <w:numPr>
          <w:ilvl w:val="0"/>
          <w:numId w:val="1031"/>
        </w:numPr>
      </w:pPr>
      <w:r>
        <w:t xml:space="preserve">This may be the result of missing ancillary data for a subset of the pixels.</w:t>
      </w:r>
    </w:p>
    <w:bookmarkEnd w:id="116"/>
    <w:bookmarkStart w:id="117"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7"/>
    <w:bookmarkStart w:id="118" w:name="assessment-19"/>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8"/>
    <w:bookmarkEnd w:id="119"/>
    <w:bookmarkStart w:id="123" w:name="sec:pxl-pisatur"/>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pxl-pisatur</w:t>
      </w:r>
    </w:p>
    <w:bookmarkStart w:id="120"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20"/>
    <w:bookmarkStart w:id="121" w:name="goal-requirements-20"/>
    <w:p>
      <w:pPr>
        <w:pStyle w:val="berschrift5"/>
      </w:pPr>
      <w:r>
        <w:t xml:space="preserve">Goal requirements:</w:t>
      </w:r>
    </w:p>
    <w:p>
      <w:pPr>
        <w:pStyle w:val="FirstParagraph"/>
      </w:pPr>
      <w:r>
        <w:t xml:space="preserve">Metadata indicates which pixels are saturated for each spectral band.</w:t>
      </w:r>
    </w:p>
    <w:bookmarkEnd w:id="121"/>
    <w:bookmarkStart w:id="122"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2"/>
    <w:bookmarkEnd w:id="123"/>
    <w:bookmarkStart w:id="127" w:name="sec:pxl-piclou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pxl-picloud</w:t>
      </w:r>
    </w:p>
    <w:bookmarkStart w:id="124" w:name="threshold-requirements-21"/>
    <w:p>
      <w:pPr>
        <w:pStyle w:val="berschrift5"/>
      </w:pPr>
      <w:r>
        <w:t xml:space="preserve">Threshold requirements:</w:t>
      </w:r>
    </w:p>
    <w:p>
      <w:pPr>
        <w:pStyle w:val="FirstParagraph"/>
      </w:pPr>
      <w:r>
        <w:t xml:space="preserve">Metadata indicates whether a pixel is assessed as being cloud.</w:t>
      </w:r>
    </w:p>
    <w:bookmarkEnd w:id="124"/>
    <w:bookmarkStart w:id="125"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25"/>
    <w:bookmarkStart w:id="126"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6"/>
    <w:bookmarkEnd w:id="127"/>
    <w:bookmarkStart w:id="131" w:name="sec:pxl-picloudsh"/>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pxl-picloudsh</w:t>
      </w:r>
    </w:p>
    <w:bookmarkStart w:id="128" w:name="threshold-requirements-22"/>
    <w:p>
      <w:pPr>
        <w:pStyle w:val="berschrift5"/>
      </w:pPr>
      <w:r>
        <w:t xml:space="preserve">Threshold requirements:</w:t>
      </w:r>
    </w:p>
    <w:p>
      <w:pPr>
        <w:pStyle w:val="FirstParagraph"/>
      </w:pPr>
      <w:r>
        <w:t xml:space="preserve">Metadata indicates whether a pixel is assessed as being cloud shadow.</w:t>
      </w:r>
    </w:p>
    <w:bookmarkEnd w:id="128"/>
    <w:bookmarkStart w:id="129" w:name="goal-requirements-22"/>
    <w:p>
      <w:pPr>
        <w:pStyle w:val="berschrift5"/>
      </w:pPr>
      <w:r>
        <w:t xml:space="preserve">Goal requirements:</w:t>
      </w:r>
    </w:p>
    <w:p>
      <w:pPr>
        <w:pStyle w:val="FirstParagraph"/>
      </w:pPr>
      <w:r>
        <w:t xml:space="preserve">As threshold, but information on cloud shadow detection should be available in the metadata as a single DOI landing page.</w:t>
      </w:r>
    </w:p>
    <w:bookmarkEnd w:id="129"/>
    <w:bookmarkStart w:id="130"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30"/>
    <w:bookmarkEnd w:id="131"/>
    <w:bookmarkStart w:id="135" w:name="sec:pxl-snowice-sr"/>
    <w:p>
      <w:pPr>
        <w:pStyle w:val="berschrift4"/>
      </w:pPr>
      <w:r>
        <w:rPr>
          <w:rStyle w:val="VerbatimChar"/>
        </w:rPr>
        <w:t xml:space="preserve">2.7.</w:t>
      </w:r>
      <w:r>
        <w:t xml:space="preserve"> </w:t>
      </w:r>
      <w:r>
        <w:t xml:space="preserve">Snow/Ice Mask</w:t>
      </w:r>
    </w:p>
    <w:p>
      <w:pPr>
        <w:pStyle w:val="FirstParagraph"/>
      </w:pPr>
      <w:r>
        <w:t xml:space="preserve">Identifier:</w:t>
      </w:r>
      <w:r>
        <w:t xml:space="preserve"> </w:t>
      </w:r>
      <w:r>
        <w:rPr>
          <w:rStyle w:val="VerbatimChar"/>
        </w:rPr>
        <w:t xml:space="preserve">pxl-snowice-sr</w:t>
      </w:r>
    </w:p>
    <w:bookmarkStart w:id="132" w:name="threshold-requirements-23"/>
    <w:p>
      <w:pPr>
        <w:pStyle w:val="berschrift5"/>
      </w:pPr>
      <w:r>
        <w:t xml:space="preserve">Threshold requirements:</w:t>
      </w:r>
    </w:p>
    <w:p>
      <w:pPr>
        <w:pStyle w:val="FirstParagraph"/>
      </w:pPr>
      <w:r>
        <w:t xml:space="preserve">Not required.</w:t>
      </w:r>
      <w:r>
        <w:t xml:space="preserve"> </w:t>
      </w:r>
    </w:p>
    <w:bookmarkEnd w:id="132"/>
    <w:bookmarkStart w:id="133" w:name="goal-requirements-23"/>
    <w:p>
      <w:pPr>
        <w:pStyle w:val="berschrift5"/>
      </w:pPr>
      <w:r>
        <w:t xml:space="preserve">Goal requirements:</w:t>
      </w:r>
    </w:p>
    <w:p>
      <w:pPr>
        <w:pStyle w:val="FirstParagraph"/>
      </w:pPr>
      <w:r>
        <w:t xml:space="preserve">The metadata indicates whether a pixel is assessed as being snow/ice or not. Information on snow/ice mask should be available in the metadata as a single DOI landing page.</w:t>
      </w:r>
    </w:p>
    <w:bookmarkEnd w:id="133"/>
    <w:bookmarkStart w:id="134" w:name="assessment-23"/>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34"/>
    <w:bookmarkEnd w:id="135"/>
    <w:bookmarkStart w:id="139" w:name="sec:pxl-vigeso"/>
    <w:p>
      <w:pPr>
        <w:pStyle w:val="berschrift4"/>
      </w:pPr>
      <w:r>
        <w:rPr>
          <w:rStyle w:val="VerbatimChar"/>
        </w:rPr>
        <w:t xml:space="preserve">2.8.</w:t>
      </w:r>
      <w:r>
        <w:t xml:space="preserve"> </w:t>
      </w:r>
      <w:r>
        <w:t xml:space="preserve">Solar and Viewing Geometry</w:t>
      </w:r>
    </w:p>
    <w:p>
      <w:pPr>
        <w:pStyle w:val="FirstParagraph"/>
      </w:pPr>
      <w:r>
        <w:t xml:space="preserve">Identifier:</w:t>
      </w:r>
      <w:r>
        <w:t xml:space="preserve"> </w:t>
      </w:r>
      <w:r>
        <w:rPr>
          <w:rStyle w:val="VerbatimChar"/>
        </w:rPr>
        <w:t xml:space="preserve">pxl-vigeso</w:t>
      </w:r>
    </w:p>
    <w:bookmarkStart w:id="136" w:name="threshold-requirements-24"/>
    <w:p>
      <w:pPr>
        <w:pStyle w:val="berschrift5"/>
      </w:pPr>
      <w:r>
        <w:t xml:space="preserve">Threshold requirements:</w:t>
      </w:r>
    </w:p>
    <w:p>
      <w:pPr>
        <w:pStyle w:val="FirstParagraph"/>
      </w:pPr>
      <w:r>
        <w:t xml:space="preserve">Provide average solar and sensor viewing azimuth and zenith angles.</w:t>
      </w:r>
    </w:p>
    <w:bookmarkEnd w:id="136"/>
    <w:bookmarkStart w:id="137" w:name="goal-requirements-24"/>
    <w:p>
      <w:pPr>
        <w:pStyle w:val="berschrift5"/>
      </w:pPr>
      <w:r>
        <w:t xml:space="preserve">Goal requirements:</w:t>
      </w:r>
    </w:p>
    <w:p>
      <w:pPr>
        <w:pStyle w:val="FirstParagraph"/>
      </w:pPr>
      <w:r>
        <w:t xml:space="preserve">Provide per-pixel solar and sensor viewing azimuth and zenith angles.</w:t>
      </w:r>
    </w:p>
    <w:bookmarkEnd w:id="137"/>
    <w:bookmarkStart w:id="138" w:name="assessment-24"/>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bookmarkEnd w:id="138"/>
    <w:bookmarkEnd w:id="139"/>
    <w:bookmarkEnd w:id="140"/>
    <w:bookmarkStart w:id="153"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44" w:name="sec:rac-measur-st"/>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rac-measur-st</w:t>
      </w:r>
    </w:p>
    <w:bookmarkStart w:id="141" w:name="threshold-requirements-25"/>
    <w:p>
      <w:pPr>
        <w:pStyle w:val="berschrift5"/>
      </w:pPr>
      <w:r>
        <w:t xml:space="preserve">Threshold requirements:</w:t>
      </w:r>
    </w:p>
    <w:p>
      <w:pPr>
        <w:pStyle w:val="FirstParagraph"/>
      </w:pPr>
      <w:r>
        <w:t xml:space="preserve">Pixel values are expressed as a measurement of the Surface Temperature of the land, expressed as Kelvin</w:t>
      </w:r>
    </w:p>
    <w:p>
      <w:pPr>
        <w:pStyle w:val="Textkrper"/>
      </w:pPr>
      <w:r>
        <w:t xml:space="preserve">Note:</w:t>
      </w:r>
    </w:p>
    <w:p>
      <w:pPr>
        <w:pStyle w:val="Compact"/>
        <w:numPr>
          <w:ilvl w:val="0"/>
          <w:numId w:val="1038"/>
        </w:numPr>
      </w:pPr>
      <w:r>
        <w:t xml:space="preserve">Radiometric corrections must lead to a valid measurement of surface temperature.</w:t>
      </w:r>
    </w:p>
    <w:bookmarkEnd w:id="141"/>
    <w:bookmarkStart w:id="142" w:name="goal-requirements-25"/>
    <w:p>
      <w:pPr>
        <w:pStyle w:val="berschrift5"/>
      </w:pPr>
      <w:r>
        <w:t xml:space="preserve">Goal requirements:</w:t>
      </w:r>
    </w:p>
    <w:p>
      <w:pPr>
        <w:pStyle w:val="FirstParagraph"/>
      </w:pPr>
      <w:r>
        <w:t xml:space="preserve">Surface temperature measurements are SI traceable (see also Section </w:t>
      </w:r>
      <w:r>
        <w:t xml:space="preserve">“</w:t>
      </w:r>
      <w:hyperlink w:anchor="sec:meta-trace-st">
        <w:r>
          <w:rPr>
            <w:rStyle w:val="Hyperlink"/>
          </w:rPr>
          <w:t xml:space="preserve">General Metadata: Traceability</w:t>
        </w:r>
      </w:hyperlink>
      <w:r>
        <w:t xml:space="preserve">”</w:t>
      </w:r>
      <w:r>
        <w:t xml:space="preserve">).</w:t>
      </w:r>
    </w:p>
    <w:bookmarkEnd w:id="142"/>
    <w:bookmarkStart w:id="143"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43"/>
    <w:bookmarkEnd w:id="144"/>
    <w:bookmarkStart w:id="148" w:name="sec:rac-catems"/>
    <w:p>
      <w:pPr>
        <w:pStyle w:val="berschrift4"/>
      </w:pPr>
      <w:r>
        <w:rPr>
          <w:rStyle w:val="VerbatimChar"/>
        </w:rPr>
        <w:t xml:space="preserve">3.2.</w:t>
      </w:r>
      <w:r>
        <w:t xml:space="preserve"> </w:t>
      </w:r>
      <w:r>
        <w:t xml:space="preserve">Corrections for Atmosphere and Emissivity</w:t>
      </w:r>
    </w:p>
    <w:p>
      <w:pPr>
        <w:pStyle w:val="FirstParagraph"/>
      </w:pPr>
      <w:r>
        <w:t xml:space="preserve">Identifier:</w:t>
      </w:r>
      <w:r>
        <w:t xml:space="preserve"> </w:t>
      </w:r>
      <w:r>
        <w:rPr>
          <w:rStyle w:val="VerbatimChar"/>
        </w:rPr>
        <w:t xml:space="preserve">rac-catems</w:t>
      </w:r>
    </w:p>
    <w:bookmarkStart w:id="145" w:name="threshold-requirements-26"/>
    <w:p>
      <w:pPr>
        <w:pStyle w:val="berschrift5"/>
      </w:pPr>
      <w:r>
        <w:t xml:space="preserve">Threshold requirements:</w:t>
      </w:r>
    </w:p>
    <w:p>
      <w:pPr>
        <w:pStyle w:val="FirstParagraph"/>
      </w:pPr>
      <w:r>
        <w:t xml:space="preserve">Retrieval methods for estimating surface temperature are provided.</w:t>
      </w:r>
    </w:p>
    <w:p>
      <w:pPr>
        <w:pStyle w:val="Textkrper"/>
      </w:pPr>
      <w:r>
        <w:t xml:space="preserve">Note:</w:t>
      </w:r>
    </w:p>
    <w:p>
      <w:pPr>
        <w:pStyle w:val="Compact"/>
        <w:numPr>
          <w:ilvl w:val="0"/>
          <w:numId w:val="1040"/>
        </w:numPr>
      </w:pPr>
      <w:r>
        <w:t xml:space="preserve">The metadata references (may be through a single DOI landing page) a citable peer-reviewed algorithm.</w:t>
      </w:r>
    </w:p>
    <w:bookmarkEnd w:id="145"/>
    <w:bookmarkStart w:id="146" w:name="goal-requirements-26"/>
    <w:p>
      <w:pPr>
        <w:pStyle w:val="berschrift5"/>
      </w:pPr>
      <w:r>
        <w:t xml:space="preserve">Goal requirements:</w:t>
      </w:r>
    </w:p>
    <w:p>
      <w:pPr>
        <w:pStyle w:val="FirstParagraph"/>
      </w:pPr>
      <w:r>
        <w:t xml:space="preserve">As threshold.</w:t>
      </w:r>
      <w:r>
        <w:t xml:space="preserve"> </w:t>
      </w:r>
    </w:p>
    <w:bookmarkEnd w:id="146"/>
    <w:bookmarkStart w:id="147" w:name="assessment-26"/>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7"/>
    <w:bookmarkEnd w:id="148"/>
    <w:bookmarkStart w:id="152" w:name="sec:rac-muncer-st"/>
    <w:p>
      <w:pPr>
        <w:pStyle w:val="berschrift4"/>
      </w:pPr>
      <w:r>
        <w:rPr>
          <w:rStyle w:val="VerbatimChar"/>
        </w:rPr>
        <w:t xml:space="preserve">3.3.</w:t>
      </w:r>
      <w:r>
        <w:t xml:space="preserve"> </w:t>
      </w:r>
      <w:r>
        <w:t xml:space="preserve">Measurement Uncertainty</w:t>
      </w:r>
    </w:p>
    <w:p>
      <w:pPr>
        <w:pStyle w:val="FirstParagraph"/>
      </w:pPr>
      <w:r>
        <w:t xml:space="preserve">Identifier:</w:t>
      </w:r>
      <w:r>
        <w:t xml:space="preserve"> </w:t>
      </w:r>
      <w:r>
        <w:rPr>
          <w:rStyle w:val="VerbatimChar"/>
        </w:rPr>
        <w:t xml:space="preserve">rac-muncer-st</w:t>
      </w:r>
    </w:p>
    <w:bookmarkStart w:id="149" w:name="threshold-requirements-27"/>
    <w:p>
      <w:pPr>
        <w:pStyle w:val="berschrift5"/>
      </w:pPr>
      <w:r>
        <w:t xml:space="preserve">Threshold requirements:</w:t>
      </w:r>
    </w:p>
    <w:p>
      <w:pPr>
        <w:pStyle w:val="FirstParagraph"/>
      </w:pPr>
      <w:r>
        <w:t xml:space="preserve">Not required.</w:t>
      </w:r>
      <w:r>
        <w:t xml:space="preserve"> </w:t>
      </w:r>
    </w:p>
    <w:bookmarkEnd w:id="149"/>
    <w:bookmarkStart w:id="150" w:name="goal-requirements-27"/>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w:t>
      </w:r>
    </w:p>
    <w:p>
      <w:pPr>
        <w:pStyle w:val="Compact"/>
        <w:numPr>
          <w:ilvl w:val="0"/>
          <w:numId w:val="1042"/>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150"/>
    <w:bookmarkStart w:id="151" w:name="assessment-27"/>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bookmarkEnd w:id="151"/>
    <w:bookmarkEnd w:id="152"/>
    <w:bookmarkEnd w:id="153"/>
    <w:bookmarkStart w:id="158"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57" w:name="sec:gcor-geocorr-st"/>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gcor-geocorr-st</w:t>
      </w:r>
    </w:p>
    <w:bookmarkStart w:id="154" w:name="threshold-requirements-28"/>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eoacc-st">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Note:</w:t>
      </w:r>
    </w:p>
    <w:p>
      <w:pPr>
        <w:pStyle w:val="Compact"/>
        <w:numPr>
          <w:ilvl w:val="0"/>
          <w:numId w:val="1044"/>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54"/>
    <w:bookmarkStart w:id="155" w:name="goal-requirements-28"/>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eoacc-st">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Note:</w:t>
      </w:r>
    </w:p>
    <w:p>
      <w:pPr>
        <w:pStyle w:val="Compact"/>
        <w:numPr>
          <w:ilvl w:val="0"/>
          <w:numId w:val="1045"/>
        </w:numPr>
      </w:pPr>
      <w:r>
        <w:t xml:space="preserve">This requirement is intended to enable interoperability between imagery from different platforms that meet this level of correction, and with non-image spatial data such as GIS layers and terrain models.</w:t>
      </w:r>
    </w:p>
    <w:bookmarkEnd w:id="155"/>
    <w:bookmarkStart w:id="156"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br w:type="page"/>
      </w:r>
    </w:p>
    <w:bookmarkEnd w:id="156"/>
    <w:bookmarkEnd w:id="157"/>
    <w:bookmarkEnd w:id="158"/>
    <w:bookmarkEnd w:id="159"/>
    <w:bookmarkStart w:id="164" w:name="summary-self-assessment-table"/>
    <w:p>
      <w:pPr>
        <w:pStyle w:val="berschrift2"/>
      </w:pPr>
      <w:r>
        <w:t xml:space="preserve">Summary Self-Assessment Table</w:t>
      </w:r>
    </w:p>
    <w:bookmarkStart w:id="160"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meta-time-st</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meta-geoarea-st</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meta-crs-optical</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meta-mapproj-st</w:t>
            </w:r>
          </w:p>
        </w:tc>
        <w:tc>
          <w:tcPr/>
          <w:p>
            <w:pPr>
              <w:pStyle w:val="Compact"/>
            </w:pPr>
            <w:r>
              <w:t xml:space="preserve">Map Projection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meta-geocorm-st</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meta-geoacc-st</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meta-instru-optical</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meta-specband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meta-sencal-optical</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meta-radacc-st</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meta-malgos-st</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meta-auxdat-optical</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meta-proprov-st</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meta-odqual-st</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60"/>
    <w:bookmarkStart w:id="161"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pxl-pimemare</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pxl-pinodat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pxl-pincot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pxl-pisatur</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pxl-picloud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pxl-picloudsh</w:t>
            </w:r>
          </w:p>
        </w:tc>
        <w:tc>
          <w:tcPr/>
          <w:p>
            <w:pPr>
              <w:pStyle w:val="Compact"/>
            </w:pPr>
            <w:r>
              <w:t xml:space="preserve">Cloud Shadow</w:t>
            </w:r>
          </w:p>
        </w:tc>
        <w:tc>
          <w:tcPr/>
          <w:p>
            <w:pPr>
              <w:pStyle w:val="Compact"/>
            </w:pPr>
          </w:p>
        </w:tc>
        <w:tc>
          <w:tcPr/>
          <w:p>
            <w:pPr>
              <w:pStyle w:val="Compact"/>
            </w:pPr>
          </w:p>
        </w:tc>
      </w:tr>
      <w:tr>
        <w:tc>
          <w:tcPr/>
          <w:p>
            <w:pPr>
              <w:pStyle w:val="Compact"/>
            </w:pPr>
            <w:r>
              <w:rPr>
                <w:rStyle w:val="VerbatimChar"/>
              </w:rPr>
              <w:t xml:space="preserve">pxl-snowice-sr</w:t>
            </w:r>
          </w:p>
        </w:tc>
        <w:tc>
          <w:tcPr/>
          <w:p>
            <w:pPr>
              <w:pStyle w:val="Compact"/>
            </w:pPr>
            <w:r>
              <w:t xml:space="preserve">Snow/Ice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pxl-vigeso</w:t>
            </w:r>
          </w:p>
        </w:tc>
        <w:tc>
          <w:tcPr/>
          <w:p>
            <w:pPr>
              <w:pStyle w:val="Compact"/>
            </w:pPr>
            <w:r>
              <w:t xml:space="preserve">Solar and Viewing Geometry</w:t>
            </w:r>
          </w:p>
        </w:tc>
        <w:tc>
          <w:tcPr/>
          <w:p>
            <w:pPr>
              <w:pStyle w:val="Compact"/>
            </w:pPr>
          </w:p>
        </w:tc>
        <w:tc>
          <w:tcPr/>
          <w:p>
            <w:pPr>
              <w:pStyle w:val="Compact"/>
            </w:pPr>
          </w:p>
        </w:tc>
      </w:tr>
    </w:tbl>
    <w:bookmarkEnd w:id="161"/>
    <w:bookmarkStart w:id="162"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rac-measur-st</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rac-catems</w:t>
            </w:r>
          </w:p>
        </w:tc>
        <w:tc>
          <w:tcPr/>
          <w:p>
            <w:pPr>
              <w:pStyle w:val="Compact"/>
            </w:pPr>
            <w:r>
              <w:t xml:space="preserve">Corrections for Atmosphere and Emissivity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rac-muncer-st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162"/>
    <w:bookmarkStart w:id="163"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gcor-geocorr-st</w:t>
            </w:r>
          </w:p>
        </w:tc>
        <w:tc>
          <w:tcPr/>
          <w:p>
            <w:pPr>
              <w:pStyle w:val="Compact"/>
            </w:pPr>
            <w:r>
              <w:t xml:space="preserve">Geometric Correction</w:t>
            </w:r>
          </w:p>
        </w:tc>
        <w:tc>
          <w:tcPr/>
          <w:p>
            <w:pPr>
              <w:pStyle w:val="Compact"/>
            </w:pPr>
          </w:p>
        </w:tc>
        <w:tc>
          <w:tcPr/>
          <w:p>
            <w:pPr>
              <w:pStyle w:val="Compact"/>
            </w:pPr>
          </w:p>
        </w:tc>
      </w:tr>
    </w:tbl>
    <w:p>
      <w:r>
        <w:br w:type="page"/>
      </w:r>
    </w:p>
    <w:bookmarkEnd w:id="163"/>
    <w:bookmarkEnd w:id="164"/>
    <w:bookmarkStart w:id="169"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165"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165"/>
    <w:bookmarkStart w:id="167"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47"/>
        </w:numPr>
      </w:pPr>
      <w:r>
        <w:t xml:space="preserve">that product has been assessed as meeting CEOS-ARD requirements by the agency responsible for production and distribution of the product, and</w:t>
      </w:r>
    </w:p>
    <w:p>
      <w:pPr>
        <w:pStyle w:val="Compact"/>
        <w:numPr>
          <w:ilvl w:val="0"/>
          <w:numId w:val="1047"/>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166">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167"/>
    <w:bookmarkStart w:id="168"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 “Target”)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168"/>
    <w:bookmarkEnd w:id="169"/>
    <w:bookmarkStart w:id="176" w:name="references"/>
    <w:p>
      <w:pPr>
        <w:pStyle w:val="berschrift2"/>
      </w:pPr>
      <w:r>
        <w:t xml:space="preserve">References</w:t>
      </w:r>
    </w:p>
    <w:bookmarkStart w:id="175" w:name="refs"/>
    <w:bookmarkStart w:id="171"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170">
        <w:r>
          <w:rPr>
            <w:rStyle w:val="Hyperlink"/>
          </w:rPr>
          <w:t xml:space="preserve">https://doi.org/10.3390/rs61111244</w:t>
        </w:r>
      </w:hyperlink>
      <w:r>
        <w:t xml:space="preserve">.</w:t>
      </w:r>
    </w:p>
    <w:bookmarkEnd w:id="171"/>
    <w:bookmarkStart w:id="172" w:name="ref-iso19115_2_2009"/>
    <w:p>
      <w:pPr>
        <w:pStyle w:val="Literaturverzeichnis"/>
      </w:pPr>
      <w:r>
        <w:t xml:space="preserve">International Organization for Standardization. 2009.</w:t>
      </w:r>
      <w:r>
        <w:t xml:space="preserve"> </w:t>
      </w:r>
      <w:r>
        <w:rPr>
          <w:i/>
          <w:iCs/>
        </w:rPr>
        <w:t xml:space="preserve">Geographic information — Metadata — Part 2: Extensions for imagery and gridded data</w:t>
      </w:r>
      <w:r>
        <w:t xml:space="preserve">. Standard. International Organization for Standardization.</w:t>
      </w:r>
    </w:p>
    <w:bookmarkEnd w:id="172"/>
    <w:bookmarkStart w:id="174" w:name="ref-li2013"/>
    <w:p>
      <w:pPr>
        <w:pStyle w:val="Literaturverzeichnis"/>
      </w:pPr>
      <w:r>
        <w:t xml:space="preserve">Li, Zhao-Liang, Bo-Hui Tang, Hua Wu, et al.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173">
        <w:r>
          <w:rPr>
            <w:rStyle w:val="Hyperlink"/>
          </w:rPr>
          <w:t xml:space="preserve">https://doi.org/10.1016/j.rse.2012.12.008</w:t>
        </w:r>
      </w:hyperlink>
      <w:r>
        <w:t xml:space="preserve">.</w:t>
      </w:r>
    </w:p>
    <w:bookmarkEnd w:id="174"/>
    <w:bookmarkEnd w:id="175"/>
    <w:p>
      <w:r>
        <w:br w:type="page"/>
      </w:r>
    </w:p>
    <w:bookmarkEnd w:id="176"/>
    <w:bookmarkStart w:id="200" w:name="annexes"/>
    <w:p>
      <w:pPr>
        <w:pStyle w:val="berschrift2"/>
      </w:pPr>
      <w:r>
        <w:t xml:space="preserve">Annexes</w:t>
      </w:r>
    </w:p>
    <w:bookmarkStart w:id="177" w:name="sec:annex-st-metadata-examples"/>
    <w:p>
      <w:pPr>
        <w:pStyle w:val="berschrift3"/>
      </w:pPr>
      <w:r>
        <w:t xml:space="preserve">CEOS-ARD Requirement Examples (Surface Temperature)</w:t>
      </w:r>
    </w:p>
    <w:bookmarkEnd w:id="177"/>
    <w:bookmarkStart w:id="190" w:name="general-metadata-1"/>
    <w:p>
      <w:pPr>
        <w:pStyle w:val="berschrift3"/>
      </w:pPr>
      <w:r>
        <w:t xml:space="preserve">General Metadata</w:t>
      </w:r>
    </w:p>
    <w:bookmarkStart w:id="178" w:name="traceability"/>
    <w:p>
      <w:pPr>
        <w:pStyle w:val="berschrift4"/>
      </w:pPr>
      <w:r>
        <w:t xml:space="preserve">Traceability</w:t>
      </w:r>
    </w:p>
    <w:p>
      <w:pPr>
        <w:pStyle w:val="FirstParagraph"/>
      </w:pPr>
      <w:r>
        <w:t xml:space="preserve">Refers to Section </w:t>
      </w:r>
      <w:r>
        <w:t xml:space="preserve">“</w:t>
      </w:r>
      <w:hyperlink w:anchor="sec:meta-trace-st">
        <w:r>
          <w:rPr>
            <w:rStyle w:val="Hyperlink"/>
          </w:rPr>
          <w:t xml:space="preserve">General Metadata: Traceability</w:t>
        </w:r>
      </w:hyperlink>
      <w:r>
        <w:t xml:space="preserve">”</w:t>
      </w:r>
    </w:p>
    <w:p>
      <w:pPr>
        <w:pStyle w:val="Textkrper"/>
      </w:pPr>
      <w:r>
        <w:t xml:space="preserve">Example of measurement traceability in metadata:</w:t>
      </w:r>
    </w:p>
    <w:p>
      <w:pPr>
        <w:pStyle w:val="SourceCode"/>
      </w:pPr>
      <w:r>
        <w:rPr>
          <w:rStyle w:val="NormalTok"/>
        </w:rPr>
        <w:t xml:space="preserve">&lt;</w:t>
      </w:r>
      <w:r>
        <w:rPr>
          <w:rStyle w:val="KeywordTok"/>
        </w:rPr>
        <w:t xml:space="preserve">band</w:t>
      </w:r>
      <w:r>
        <w:rPr>
          <w:rStyle w:val="NormalTok"/>
        </w:rPr>
        <w:t xml:space="preserve"> </w:t>
      </w:r>
      <w:r>
        <w:rPr>
          <w:rStyle w:val="OtherTok"/>
        </w:rPr>
        <w:t xml:space="preserve">add_offset=</w:t>
      </w:r>
      <w:r>
        <w:rPr>
          <w:rStyle w:val="StringTok"/>
        </w:rPr>
        <w:t xml:space="preserve">"0.000000"</w:t>
      </w:r>
      <w:r>
        <w:rPr>
          <w:rStyle w:val="NormalTok"/>
        </w:rPr>
        <w:t xml:space="preserve"> </w:t>
      </w:r>
      <w:r>
        <w:rPr>
          <w:rStyle w:val="OtherTok"/>
        </w:rPr>
        <w:t xml:space="preserve">category=</w:t>
      </w:r>
      <w:r>
        <w:rPr>
          <w:rStyle w:val="StringTok"/>
        </w:rPr>
        <w:t xml:space="preserve">"image"</w:t>
      </w:r>
      <w:r>
        <w:rPr>
          <w:rStyle w:val="NormalTok"/>
        </w:rPr>
        <w:t xml:space="preserve"> </w:t>
      </w:r>
      <w:r>
        <w:rPr>
          <w:rStyle w:val="OtherTok"/>
        </w:rPr>
        <w:t xml:space="preserve">data_type=</w:t>
      </w:r>
      <w:r>
        <w:rPr>
          <w:rStyle w:val="StringTok"/>
        </w:rPr>
        <w:t xml:space="preserve">"INT16"</w:t>
      </w:r>
      <w:r>
        <w:rPr>
          <w:rStyle w:val="NormalTok"/>
        </w:rPr>
        <w:t xml:space="preserve"> </w:t>
      </w:r>
      <w:r>
        <w:rPr>
          <w:rStyle w:val="OtherTok"/>
        </w:rPr>
        <w:t xml:space="preserve">fill_value=</w:t>
      </w:r>
      <w:r>
        <w:rPr>
          <w:rStyle w:val="StringTok"/>
        </w:rPr>
        <w:t xml:space="preserve">"-9999"</w:t>
      </w:r>
      <w:r>
        <w:rPr>
          <w:rStyle w:val="NormalTok"/>
        </w:rPr>
        <w:t xml:space="preserve"> </w:t>
      </w:r>
      <w:r>
        <w:rPr>
          <w:rStyle w:val="OtherTok"/>
        </w:rPr>
        <w:t xml:space="preserve">name=</w:t>
      </w:r>
      <w:r>
        <w:rPr>
          <w:rStyle w:val="StringTok"/>
        </w:rPr>
        <w:t xml:space="preserve">"ST"</w:t>
      </w:r>
      <w:r>
        <w:rPr>
          <w:rStyle w:val="NormalTok"/>
        </w:rPr>
        <w:t xml:space="preserve"> </w:t>
      </w:r>
      <w:r>
        <w:rPr>
          <w:rStyle w:val="OtherTok"/>
        </w:rPr>
        <w:t xml:space="preserve">nlines=</w:t>
      </w:r>
      <w:r>
        <w:rPr>
          <w:rStyle w:val="StringTok"/>
        </w:rPr>
        <w:t xml:space="preserve">"5000"</w:t>
      </w:r>
      <w:r>
        <w:rPr>
          <w:rStyle w:val="NormalTok"/>
        </w:rPr>
        <w:t xml:space="preserve"> </w:t>
      </w:r>
      <w:r>
        <w:rPr>
          <w:rStyle w:val="OtherTok"/>
        </w:rPr>
        <w:t xml:space="preserve">nsamps=</w:t>
      </w:r>
      <w:r>
        <w:rPr>
          <w:rStyle w:val="StringTok"/>
        </w:rPr>
        <w:t xml:space="preserve">"5000"</w:t>
      </w:r>
      <w:r>
        <w:rPr>
          <w:rStyle w:val="NormalTok"/>
        </w:rPr>
        <w:t xml:space="preserve"> </w:t>
      </w:r>
      <w:r>
        <w:rPr>
          <w:rStyle w:val="OtherTok"/>
        </w:rPr>
        <w:t xml:space="preserve">product=</w:t>
      </w:r>
      <w:r>
        <w:rPr>
          <w:rStyle w:val="StringTok"/>
        </w:rPr>
        <w:t xml:space="preserve">"st"</w:t>
      </w:r>
      <w:r>
        <w:rPr>
          <w:rStyle w:val="NormalTok"/>
        </w:rPr>
        <w:t xml:space="preserve"> </w:t>
      </w:r>
      <w:r>
        <w:rPr>
          <w:rStyle w:val="OtherTok"/>
        </w:rPr>
        <w:t xml:space="preserve">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NormalTok"/>
        </w:rPr>
        <w:t xml:space="preserve"> </w:t>
      </w:r>
      <w:r>
        <w:rPr>
          <w:rStyle w:val="OtherTok"/>
        </w:rPr>
        <w:t xml:space="preserve">units=</w:t>
      </w:r>
      <w:r>
        <w:rPr>
          <w:rStyle w:val="StringTok"/>
        </w:rPr>
        <w:t xml:space="preserve">"meters"</w:t>
      </w:r>
      <w:r>
        <w:rPr>
          <w:rStyle w:val="NormalTok"/>
        </w:rPr>
        <w:t xml:space="preserve"> </w:t>
      </w:r>
      <w:r>
        <w:rPr>
          <w:rStyle w:val="OtherTok"/>
        </w:rPr>
        <w:t xml:space="preserve">x=</w:t>
      </w:r>
      <w:r>
        <w:rPr>
          <w:rStyle w:val="StringTok"/>
        </w:rPr>
        <w:t xml:space="preserve">"30"</w:t>
      </w:r>
      <w:r>
        <w:rPr>
          <w:rStyle w:val="NormalTok"/>
        </w:rPr>
        <w:t xml:space="preserve"> </w:t>
      </w:r>
      <w:r>
        <w:rPr>
          <w:rStyle w:val="OtherTok"/>
        </w:rPr>
        <w:t xml:space="preserve">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NormalTok"/>
        </w:rPr>
        <w:t xml:space="preserve"> </w:t>
      </w:r>
      <w:r>
        <w:rPr>
          <w:rStyle w:val="OtherTok"/>
        </w:rPr>
        <w:t xml:space="preserve">max=</w:t>
      </w:r>
      <w:r>
        <w:rPr>
          <w:rStyle w:val="StringTok"/>
        </w:rPr>
        <w:t xml:space="preserve">"3730.000000"</w:t>
      </w:r>
      <w:r>
        <w:rPr>
          <w:rStyle w:val="NormalTok"/>
        </w:rPr>
        <w:t xml:space="preserve"> </w:t>
      </w:r>
      <w:r>
        <w:rPr>
          <w:rStyle w:val="OtherTok"/>
        </w:rPr>
        <w:t xml:space="preserve">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NormalTok"/>
        </w:rPr>
        <w:t xml:space="preserve"> </w:t>
      </w:r>
      <w:r>
        <w:rPr>
          <w:rStyle w:val="OtherTok"/>
        </w:rPr>
        <w:t xml:space="preserve">category=</w:t>
      </w:r>
      <w:r>
        <w:rPr>
          <w:rStyle w:val="StringTok"/>
        </w:rPr>
        <w:t xml:space="preserve">"qa"</w:t>
      </w:r>
      <w:r>
        <w:rPr>
          <w:rStyle w:val="NormalTok"/>
        </w:rPr>
        <w:t xml:space="preserve"> </w:t>
      </w:r>
      <w:r>
        <w:rPr>
          <w:rStyle w:val="OtherTok"/>
        </w:rPr>
        <w:t xml:space="preserve">data_type=</w:t>
      </w:r>
      <w:r>
        <w:rPr>
          <w:rStyle w:val="StringTok"/>
        </w:rPr>
        <w:t xml:space="preserve">"INT16"</w:t>
      </w:r>
      <w:r>
        <w:rPr>
          <w:rStyle w:val="NormalTok"/>
        </w:rPr>
        <w:t xml:space="preserve"> </w:t>
      </w:r>
      <w:r>
        <w:rPr>
          <w:rStyle w:val="OtherTok"/>
        </w:rPr>
        <w:t xml:space="preserve">fill_value=</w:t>
      </w:r>
      <w:r>
        <w:rPr>
          <w:rStyle w:val="StringTok"/>
        </w:rPr>
        <w:t xml:space="preserve">"-9999"</w:t>
      </w:r>
      <w:r>
        <w:rPr>
          <w:rStyle w:val="NormalTok"/>
        </w:rPr>
        <w:t xml:space="preserve"> </w:t>
      </w:r>
      <w:r>
        <w:rPr>
          <w:rStyle w:val="OtherTok"/>
        </w:rPr>
        <w:t xml:space="preserve">name=</w:t>
      </w:r>
      <w:r>
        <w:rPr>
          <w:rStyle w:val="StringTok"/>
        </w:rPr>
        <w:t xml:space="preserve">"STQA"</w:t>
      </w:r>
      <w:r>
        <w:rPr>
          <w:rStyle w:val="NormalTok"/>
        </w:rPr>
        <w:t xml:space="preserve"> </w:t>
      </w:r>
      <w:r>
        <w:rPr>
          <w:rStyle w:val="OtherTok"/>
        </w:rPr>
        <w:t xml:space="preserve">nlines=</w:t>
      </w:r>
      <w:r>
        <w:rPr>
          <w:rStyle w:val="StringTok"/>
        </w:rPr>
        <w:t xml:space="preserve">"5000"</w:t>
      </w:r>
      <w:r>
        <w:rPr>
          <w:rStyle w:val="NormalTok"/>
        </w:rPr>
        <w:t xml:space="preserve"> </w:t>
      </w:r>
      <w:r>
        <w:rPr>
          <w:rStyle w:val="OtherTok"/>
        </w:rPr>
        <w:t xml:space="preserve">nsamps=</w:t>
      </w:r>
      <w:r>
        <w:rPr>
          <w:rStyle w:val="StringTok"/>
        </w:rPr>
        <w:t xml:space="preserve">"5000"</w:t>
      </w:r>
      <w:r>
        <w:rPr>
          <w:rStyle w:val="NormalTok"/>
        </w:rPr>
        <w:t xml:space="preserve"> </w:t>
      </w:r>
      <w:r>
        <w:rPr>
          <w:rStyle w:val="OtherTok"/>
        </w:rPr>
        <w:t xml:space="preserve">product=</w:t>
      </w:r>
      <w:r>
        <w:rPr>
          <w:rStyle w:val="StringTok"/>
        </w:rPr>
        <w:t xml:space="preserve">"st_qa"</w:t>
      </w:r>
      <w:r>
        <w:rPr>
          <w:rStyle w:val="NormalTok"/>
        </w:rPr>
        <w:t xml:space="preserve"> </w:t>
      </w:r>
      <w:r>
        <w:rPr>
          <w:rStyle w:val="OtherTok"/>
        </w:rPr>
        <w:t xml:space="preserve">scale_factor=</w:t>
      </w:r>
      <w:r>
        <w:rPr>
          <w:rStyle w:val="StringTok"/>
        </w:rPr>
        <w:t xml:space="preserve">"0.010000"</w:t>
      </w:r>
      <w:r>
        <w:rPr>
          <w:rStyle w:val="NormalTok"/>
        </w:rPr>
        <w:t xml:space="preserve"> </w:t>
      </w:r>
      <w:r>
        <w:rPr>
          <w:rStyle w:val="OtherTok"/>
        </w:rPr>
        <w:t xml:space="preserve">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NormalTok"/>
        </w:rPr>
        <w:t xml:space="preserve"> </w:t>
      </w:r>
      <w:r>
        <w:rPr>
          <w:rStyle w:val="OtherTok"/>
        </w:rPr>
        <w:t xml:space="preserve">units=</w:t>
      </w:r>
      <w:r>
        <w:rPr>
          <w:rStyle w:val="StringTok"/>
        </w:rPr>
        <w:t xml:space="preserve">"meters"</w:t>
      </w:r>
      <w:r>
        <w:rPr>
          <w:rStyle w:val="NormalTok"/>
        </w:rPr>
        <w:t xml:space="preserve"> </w:t>
      </w:r>
      <w:r>
        <w:rPr>
          <w:rStyle w:val="OtherTok"/>
        </w:rPr>
        <w:t xml:space="preserve">x=</w:t>
      </w:r>
      <w:r>
        <w:rPr>
          <w:rStyle w:val="StringTok"/>
        </w:rPr>
        <w:t xml:space="preserve">"30"</w:t>
      </w:r>
      <w:r>
        <w:rPr>
          <w:rStyle w:val="NormalTok"/>
        </w:rPr>
        <w:t xml:space="preserve"> </w:t>
      </w:r>
      <w:r>
        <w:rPr>
          <w:rStyle w:val="OtherTok"/>
        </w:rPr>
        <w:t xml:space="preserve">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NormalTok"/>
        </w:rPr>
        <w:t xml:space="preserve"> </w:t>
      </w:r>
      <w:r>
        <w:rPr>
          <w:rStyle w:val="OtherTok"/>
        </w:rPr>
        <w:t xml:space="preserve">max=</w:t>
      </w:r>
      <w:r>
        <w:rPr>
          <w:rStyle w:val="StringTok"/>
        </w:rPr>
        <w:t xml:space="preserve">"32767.000000"</w:t>
      </w:r>
      <w:r>
        <w:rPr>
          <w:rStyle w:val="NormalTok"/>
        </w:rPr>
        <w:t xml:space="preserve"> </w:t>
      </w:r>
      <w:r>
        <w:rPr>
          <w:rStyle w:val="OtherTok"/>
        </w:rPr>
        <w:t xml:space="preserve">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178"/>
    <w:bookmarkStart w:id="179" w:name="data-collection-time"/>
    <w:p>
      <w:pPr>
        <w:pStyle w:val="berschrift4"/>
      </w:pPr>
      <w:r>
        <w:t xml:space="preserve">Data Collection Time</w:t>
      </w:r>
    </w:p>
    <w:p>
      <w:pPr>
        <w:pStyle w:val="FirstParagraph"/>
      </w:pPr>
      <w:r>
        <w:t xml:space="preserve">Refers to Section </w:t>
      </w:r>
      <w:r>
        <w:t xml:space="preserve">“</w:t>
      </w:r>
      <w:hyperlink w:anchor="sec:meta-time-st">
        <w:r>
          <w:rPr>
            <w:rStyle w:val="Hyperlink"/>
          </w:rPr>
          <w:t xml:space="preserve">General Metadata: Data Collection Time</w:t>
        </w:r>
      </w:hyperlink>
      <w:r>
        <w:t xml:space="preserve">”</w:t>
      </w:r>
    </w:p>
    <w:p>
      <w:pPr>
        <w:pStyle w:val="Textkrper"/>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NormalTok"/>
        </w:rPr>
        <w:t xml:space="preserve"> </w:t>
      </w:r>
      <w:r>
        <w:rPr>
          <w:rStyle w:val="OtherTok"/>
        </w:rPr>
        <w:t xml:space="preserve">ID=</w:t>
      </w:r>
      <w:r>
        <w:rPr>
          <w:rStyle w:val="StringTok"/>
        </w:rPr>
        <w:t xml:space="preserve">"acquisitionPeriod"</w:t>
      </w:r>
      <w:r>
        <w:rPr>
          <w:rStyle w:val="NormalTok"/>
        </w:rPr>
        <w:t xml:space="preserve"> </w:t>
      </w:r>
      <w:r>
        <w:rPr>
          <w:rStyle w:val="OtherTok"/>
        </w:rPr>
        <w:t xml:space="preserve">classification=</w:t>
      </w:r>
      <w:r>
        <w:rPr>
          <w:rStyle w:val="StringTok"/>
        </w:rPr>
        <w:t xml:space="preserve">"DESCRIPTION"</w:t>
      </w:r>
      <w:r>
        <w:rPr>
          <w:rStyle w:val="NormalTok"/>
        </w:rPr>
        <w:t xml:space="preserve"> </w:t>
      </w:r>
      <w:r>
        <w:rPr>
          <w:rStyle w:val="OtherTok"/>
        </w:rPr>
        <w:t xml:space="preserve">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NormalTok"/>
        </w:rPr>
        <w:t xml:space="preserve"> </w:t>
      </w:r>
      <w:r>
        <w:rPr>
          <w:rStyle w:val="OtherTok"/>
        </w:rPr>
        <w:t xml:space="preserve">mimeType=</w:t>
      </w:r>
      <w:r>
        <w:rPr>
          <w:rStyle w:val="StringTok"/>
        </w:rPr>
        <w:t xml:space="preserve">"text/xml"</w:t>
      </w:r>
      <w:r>
        <w:rPr>
          <w:rStyle w:val="NormalTok"/>
        </w:rPr>
        <w:t xml:space="preserve"> </w:t>
      </w:r>
      <w:r>
        <w:rPr>
          <w:rStyle w:val="OtherTok"/>
        </w:rPr>
        <w:t xml:space="preserve">vocabularyName=</w:t>
      </w:r>
      <w:r>
        <w:rPr>
          <w:rStyle w:val="StringTok"/>
        </w:rPr>
        <w:t xml:space="preserve">"Sentinel-SAFE"</w:t>
      </w:r>
      <w:r>
        <w:rPr>
          <w:rStyle w:val="NormalTok"/>
        </w:rPr>
        <w:t xml:space="preserve"> </w:t>
      </w:r>
      <w:r>
        <w:rPr>
          <w:rStyle w:val="OtherTok"/>
        </w:rPr>
        <w:t xml:space="preserve">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 “indices_in.nc” datafiles following a prescribed recipe.</w:t>
      </w:r>
    </w:p>
    <w:bookmarkEnd w:id="179"/>
    <w:bookmarkStart w:id="180" w:name="geographical-area"/>
    <w:p>
      <w:pPr>
        <w:pStyle w:val="berschrift4"/>
      </w:pPr>
      <w:r>
        <w:t xml:space="preserve">Geographical Area</w:t>
      </w:r>
    </w:p>
    <w:p>
      <w:pPr>
        <w:pStyle w:val="FirstParagraph"/>
      </w:pPr>
      <w:r>
        <w:t xml:space="preserve">Refers to Section </w:t>
      </w:r>
      <w:r>
        <w:t xml:space="preserve">“</w:t>
      </w:r>
      <w:hyperlink w:anchor="sec:meta-geoarea-st">
        <w:r>
          <w:rPr>
            <w:rStyle w:val="Hyperlink"/>
          </w:rPr>
          <w:t xml:space="preserve">General Metadata: Geographical Area</w:t>
        </w:r>
      </w:hyperlink>
      <w:r>
        <w:t xml:space="preserve">”</w:t>
      </w:r>
    </w:p>
    <w:p>
      <w:pPr>
        <w:pStyle w:val="Textkrper"/>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NormalTok"/>
        </w:rPr>
        <w:t xml:space="preserve"> </w:t>
      </w:r>
      <w:r>
        <w:rPr>
          <w:rStyle w:val="OtherTok"/>
        </w:rPr>
        <w:t xml:space="preserve">location=</w:t>
      </w:r>
      <w:r>
        <w:rPr>
          <w:rStyle w:val="StringTok"/>
        </w:rPr>
        <w:t xml:space="preserve">"UL"</w:t>
      </w:r>
      <w:r>
        <w:rPr>
          <w:rStyle w:val="NormalTok"/>
        </w:rPr>
        <w:t xml:space="preserve"> </w:t>
      </w:r>
      <w:r>
        <w:rPr>
          <w:rStyle w:val="OtherTok"/>
        </w:rPr>
        <w:t xml:space="preserve">x=</w:t>
      </w:r>
      <w:r>
        <w:rPr>
          <w:rStyle w:val="StringTok"/>
        </w:rPr>
        <w:t xml:space="preserve">"-315585.000000"</w:t>
      </w:r>
      <w:r>
        <w:rPr>
          <w:rStyle w:val="NormalTok"/>
        </w:rPr>
        <w:t xml:space="preserve"> </w:t>
      </w:r>
      <w:r>
        <w:rPr>
          <w:rStyle w:val="OtherTok"/>
        </w:rPr>
        <w:t xml:space="preserve">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NormalTok"/>
        </w:rPr>
        <w:t xml:space="preserve"> </w:t>
      </w:r>
      <w:r>
        <w:rPr>
          <w:rStyle w:val="OtherTok"/>
        </w:rPr>
        <w:t xml:space="preserve">location=</w:t>
      </w:r>
      <w:r>
        <w:rPr>
          <w:rStyle w:val="StringTok"/>
        </w:rPr>
        <w:t xml:space="preserve">"LR"</w:t>
      </w:r>
      <w:r>
        <w:rPr>
          <w:rStyle w:val="NormalTok"/>
        </w:rPr>
        <w:t xml:space="preserve"> </w:t>
      </w:r>
      <w:r>
        <w:rPr>
          <w:rStyle w:val="OtherTok"/>
        </w:rPr>
        <w:t xml:space="preserve">x=</w:t>
      </w:r>
      <w:r>
        <w:rPr>
          <w:rStyle w:val="StringTok"/>
        </w:rPr>
        <w:t xml:space="preserve">"-165585.000000"</w:t>
      </w:r>
      <w:r>
        <w:rPr>
          <w:rStyle w:val="NormalTok"/>
        </w:rPr>
        <w:t xml:space="preserve"> </w:t>
      </w:r>
      <w:r>
        <w:rPr>
          <w:rStyle w:val="OtherTok"/>
        </w:rPr>
        <w:t xml:space="preserve">y=</w:t>
      </w:r>
      <w:r>
        <w:rPr>
          <w:rStyle w:val="StringTok"/>
        </w:rPr>
        <w:t xml:space="preserve">"2114805.000000"</w:t>
      </w:r>
      <w:r>
        <w:rPr>
          <w:rStyle w:val="NormalTok"/>
        </w:rPr>
        <w:t xml:space="preserve">/&gt;</w:t>
      </w:r>
    </w:p>
    <w:bookmarkEnd w:id="180"/>
    <w:bookmarkStart w:id="181" w:name="map-projection"/>
    <w:p>
      <w:pPr>
        <w:pStyle w:val="berschrift4"/>
      </w:pPr>
      <w:r>
        <w:t xml:space="preserve">Map Projection</w:t>
      </w:r>
    </w:p>
    <w:p>
      <w:pPr>
        <w:pStyle w:val="FirstParagraph"/>
      </w:pPr>
      <w:r>
        <w:t xml:space="preserve">Refers to Section </w:t>
      </w:r>
      <w:r>
        <w:t xml:space="preserve">“</w:t>
      </w:r>
      <w:hyperlink w:anchor="sec:meta-mapproj-st">
        <w:r>
          <w:rPr>
            <w:rStyle w:val="Hyperlink"/>
          </w:rPr>
          <w:t xml:space="preserve">General Metadata: Map Projection</w:t>
        </w:r>
      </w:hyperlink>
      <w:r>
        <w:t xml:space="preserve">”</w:t>
      </w:r>
    </w:p>
    <w:p>
      <w:pPr>
        <w:pStyle w:val="SourceCode"/>
      </w:pPr>
      <w:r>
        <w:rPr>
          <w:rStyle w:val="NormalTok"/>
        </w:rPr>
        <w:t xml:space="preserve">&lt;</w:t>
      </w:r>
      <w:r>
        <w:rPr>
          <w:rStyle w:val="KeywordTok"/>
        </w:rPr>
        <w:t xml:space="preserve">projection_information</w:t>
      </w:r>
      <w:r>
        <w:rPr>
          <w:rStyle w:val="NormalTok"/>
        </w:rPr>
        <w:t xml:space="preserve"> </w:t>
      </w:r>
      <w:r>
        <w:rPr>
          <w:rStyle w:val="OtherTok"/>
        </w:rPr>
        <w:t xml:space="preserve">datum=</w:t>
      </w:r>
      <w:r>
        <w:rPr>
          <w:rStyle w:val="StringTok"/>
        </w:rPr>
        <w:t xml:space="preserve">"WGS84"</w:t>
      </w:r>
      <w:r>
        <w:rPr>
          <w:rStyle w:val="NormalTok"/>
        </w:rPr>
        <w:t xml:space="preserve"> </w:t>
      </w:r>
      <w:r>
        <w:rPr>
          <w:rStyle w:val="OtherTok"/>
        </w:rPr>
        <w:t xml:space="preserve">projection=</w:t>
      </w:r>
      <w:r>
        <w:rPr>
          <w:rStyle w:val="StringTok"/>
        </w:rPr>
        <w:t xml:space="preserve">"AEA"</w:t>
      </w:r>
      <w:r>
        <w:rPr>
          <w:rStyle w:val="NormalTok"/>
        </w:rPr>
        <w:t xml:space="preserve"> </w:t>
      </w:r>
      <w:r>
        <w:rPr>
          <w:rStyle w:val="OtherTok"/>
        </w:rPr>
        <w:t xml:space="preserve">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NormalTok"/>
        </w:rPr>
        <w:t xml:space="preserve"> </w:t>
      </w:r>
      <w:r>
        <w:rPr>
          <w:rStyle w:val="OtherTok"/>
        </w:rPr>
        <w:t xml:space="preserve">location=</w:t>
      </w:r>
      <w:r>
        <w:rPr>
          <w:rStyle w:val="StringTok"/>
        </w:rPr>
        <w:t xml:space="preserve">"UL"</w:t>
      </w:r>
      <w:r>
        <w:rPr>
          <w:rStyle w:val="NormalTok"/>
        </w:rPr>
        <w:t xml:space="preserve"> </w:t>
      </w:r>
      <w:r>
        <w:rPr>
          <w:rStyle w:val="OtherTok"/>
        </w:rPr>
        <w:t xml:space="preserve">x=</w:t>
      </w:r>
      <w:r>
        <w:rPr>
          <w:rStyle w:val="StringTok"/>
        </w:rPr>
        <w:t xml:space="preserve">"-315585.000000"</w:t>
      </w:r>
      <w:r>
        <w:rPr>
          <w:rStyle w:val="NormalTok"/>
        </w:rPr>
        <w:t xml:space="preserve"> </w:t>
      </w:r>
      <w:r>
        <w:rPr>
          <w:rStyle w:val="OtherTok"/>
        </w:rPr>
        <w:t xml:space="preserve">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NormalTok"/>
        </w:rPr>
        <w:t xml:space="preserve"> </w:t>
      </w:r>
      <w:r>
        <w:rPr>
          <w:rStyle w:val="OtherTok"/>
        </w:rPr>
        <w:t xml:space="preserve">location=</w:t>
      </w:r>
      <w:r>
        <w:rPr>
          <w:rStyle w:val="StringTok"/>
        </w:rPr>
        <w:t xml:space="preserve">"LR"</w:t>
      </w:r>
      <w:r>
        <w:rPr>
          <w:rStyle w:val="NormalTok"/>
        </w:rPr>
        <w:t xml:space="preserve"> </w:t>
      </w:r>
      <w:r>
        <w:rPr>
          <w:rStyle w:val="OtherTok"/>
        </w:rPr>
        <w:t xml:space="preserve">x=</w:t>
      </w:r>
      <w:r>
        <w:rPr>
          <w:rStyle w:val="StringTok"/>
        </w:rPr>
        <w:t xml:space="preserve">"-165585.000000"</w:t>
      </w:r>
      <w:r>
        <w:rPr>
          <w:rStyle w:val="NormalTok"/>
        </w:rPr>
        <w:t xml:space="preserve"> </w:t>
      </w:r>
      <w:r>
        <w:rPr>
          <w:rStyle w:val="OtherTok"/>
        </w:rPr>
        <w:t xml:space="preserve">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181"/>
    <w:bookmarkStart w:id="182" w:name="geometric-correction-source"/>
    <w:p>
      <w:pPr>
        <w:pStyle w:val="berschrift4"/>
      </w:pPr>
      <w:r>
        <w:t xml:space="preserve">Geometric Correction Source</w:t>
      </w:r>
    </w:p>
    <w:p>
      <w:pPr>
        <w:pStyle w:val="FirstParagraph"/>
      </w:pPr>
      <w:r>
        <w:t xml:space="preserve">Refers to Section </w:t>
      </w:r>
      <w:r>
        <w:t xml:space="preserve">“</w:t>
      </w:r>
      <w:hyperlink w:anchor="sec:meta-geocorm-st">
        <w:r>
          <w:rPr>
            <w:rStyle w:val="Hyperlink"/>
          </w:rPr>
          <w:t xml:space="preserve">General Metadata: Geometric Correction Methods</w:t>
        </w:r>
      </w:hyperlink>
      <w:r>
        <w:t xml:space="preserve">”</w:t>
      </w:r>
    </w:p>
    <w:p>
      <w:pPr>
        <w:pStyle w:val="Textkrper"/>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NormalTok"/>
        </w:rPr>
        <w:t xml:space="preserve"> </w:t>
      </w:r>
      <w:r>
        <w:rPr>
          <w:rStyle w:val="OtherTok"/>
        </w:rPr>
        <w:t xml:space="preserve">name=</w:t>
      </w:r>
      <w:r>
        <w:rPr>
          <w:rStyle w:val="StringTok"/>
        </w:rPr>
        <w:t xml:space="preserve">"S3A_SL_1_GEC_AX_20160216T000000_20991231T235959_20180202T120000___________________MPC_O_AL_007.SEN3"</w:t>
      </w:r>
      <w:r>
        <w:rPr>
          <w:rStyle w:val="NormalTok"/>
        </w:rPr>
        <w:t xml:space="preserve"> </w:t>
      </w:r>
      <w:r>
        <w:rPr>
          <w:rStyle w:val="OtherTok"/>
        </w:rPr>
        <w:t xml:space="preserve">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NormalTok"/>
        </w:rPr>
        <w:t xml:space="preserve"> </w:t>
      </w:r>
      <w:r>
        <w:rPr>
          <w:rStyle w:val="OtherTok"/>
        </w:rPr>
        <w:t xml:space="preserve">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NormalTok"/>
        </w:rPr>
        <w:t xml:space="preserve"> </w:t>
      </w:r>
      <w:r>
        <w:rPr>
          <w:rStyle w:val="OtherTok"/>
        </w:rPr>
        <w:t xml:space="preserve">name=</w:t>
      </w:r>
      <w:r>
        <w:rPr>
          <w:rStyle w:val="StringTok"/>
        </w:rPr>
        <w:t xml:space="preserve">"ESA Mission Performance Coordinating Centre (MPC)"</w:t>
      </w:r>
      <w:r>
        <w:rPr>
          <w:rStyle w:val="NormalTok"/>
        </w:rPr>
        <w:t xml:space="preserve"> </w:t>
      </w:r>
      <w:r>
        <w:rPr>
          <w:rStyle w:val="OtherTok"/>
        </w:rPr>
        <w:t xml:space="preserve">organisation=</w:t>
      </w:r>
      <w:r>
        <w:rPr>
          <w:rStyle w:val="StringTok"/>
        </w:rPr>
        <w:t xml:space="preserve">"ESA Mission Performance Coordinating Centre"</w:t>
      </w:r>
      <w:r>
        <w:rPr>
          <w:rStyle w:val="NormalTok"/>
        </w:rPr>
        <w:t xml:space="preserve"> </w:t>
      </w:r>
      <w:r>
        <w:rPr>
          <w:rStyle w:val="OtherTok"/>
        </w:rPr>
        <w:t xml:space="preserve">site=</w:t>
      </w:r>
      <w:r>
        <w:rPr>
          <w:rStyle w:val="StringTok"/>
        </w:rPr>
        <w:t xml:space="preserve">"Sophia Antipolis"</w:t>
      </w:r>
      <w:r>
        <w:rPr>
          <w:rStyle w:val="NormalTok"/>
        </w:rPr>
        <w:t xml:space="preserve"> </w:t>
      </w:r>
      <w:r>
        <w:rPr>
          <w:rStyle w:val="OtherTok"/>
        </w:rPr>
        <w:t xml:space="preserve">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NormalTok"/>
        </w:rPr>
        <w:t xml:space="preserve"> </w:t>
      </w:r>
      <w:r>
        <w:rPr>
          <w:rStyle w:val="OtherTok"/>
        </w:rPr>
        <w:t xml:space="preserve">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NormalTok"/>
        </w:rPr>
        <w:t xml:space="preserve"> </w:t>
      </w:r>
      <w:r>
        <w:rPr>
          <w:rStyle w:val="OtherTok"/>
        </w:rPr>
        <w:t xml:space="preserve">name=</w:t>
      </w:r>
      <w:r>
        <w:rPr>
          <w:rStyle w:val="StringTok"/>
        </w:rPr>
        <w:t xml:space="preserve">"ADC"</w:t>
      </w:r>
      <w:r>
        <w:rPr>
          <w:rStyle w:val="NormalTok"/>
        </w:rPr>
        <w:t xml:space="preserve"> </w:t>
      </w:r>
      <w:r>
        <w:rPr>
          <w:rStyle w:val="OtherTok"/>
        </w:rPr>
        <w:t xml:space="preserve">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182"/>
    <w:bookmarkStart w:id="183" w:name="geometric-accuracy-of-the-data"/>
    <w:p>
      <w:pPr>
        <w:pStyle w:val="berschrift4"/>
      </w:pPr>
      <w:r>
        <w:t xml:space="preserve">Geometric Accuracy of the Data</w:t>
      </w:r>
    </w:p>
    <w:p>
      <w:pPr>
        <w:pStyle w:val="FirstParagraph"/>
      </w:pPr>
      <w:r>
        <w:t xml:space="preserve">Refers to Section </w:t>
      </w:r>
      <w:r>
        <w:t xml:space="preserve">“</w:t>
      </w:r>
      <w:hyperlink w:anchor="sec:meta-geoacc-st">
        <w:r>
          <w:rPr>
            <w:rStyle w:val="Hyperlink"/>
          </w:rPr>
          <w:t xml:space="preserve">General Metadata: Geometric Accuracy of the Data</w:t>
        </w:r>
      </w:hyperlink>
      <w:r>
        <w:t xml:space="preserve">”</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183"/>
    <w:bookmarkStart w:id="184" w:name="instrument"/>
    <w:p>
      <w:pPr>
        <w:pStyle w:val="berschrift4"/>
      </w:pPr>
      <w:r>
        <w:t xml:space="preserve">Instrument</w:t>
      </w:r>
    </w:p>
    <w:p>
      <w:pPr>
        <w:pStyle w:val="FirstParagraph"/>
      </w:pPr>
      <w:r>
        <w:t xml:space="preserve">Refers to Section </w:t>
      </w:r>
      <w:r>
        <w:t xml:space="preserve">“</w:t>
      </w:r>
      <w:hyperlink w:anchor="sec:meta-instru-optical">
        <w:r>
          <w:rPr>
            <w:rStyle w:val="Hyperlink"/>
          </w:rPr>
          <w:t xml:space="preserve">General Metadata: Instrument</w:t>
        </w:r>
      </w:hyperlink>
      <w:r>
        <w:t xml:space="preserve">”</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NormalTok"/>
        </w:rPr>
        <w:t xml:space="preserve"> </w:t>
      </w:r>
      <w:r>
        <w:rPr>
          <w:rStyle w:val="OtherTok"/>
        </w:rPr>
        <w:t xml:space="preserve">ID=</w:t>
      </w:r>
      <w:r>
        <w:rPr>
          <w:rStyle w:val="StringTok"/>
        </w:rPr>
        <w:t xml:space="preserve">"platform"</w:t>
      </w:r>
      <w:r>
        <w:rPr>
          <w:rStyle w:val="NormalTok"/>
        </w:rPr>
        <w:t xml:space="preserve"> </w:t>
      </w:r>
      <w:r>
        <w:rPr>
          <w:rStyle w:val="OtherTok"/>
        </w:rPr>
        <w:t xml:space="preserve">classification=</w:t>
      </w:r>
      <w:r>
        <w:rPr>
          <w:rStyle w:val="StringTok"/>
        </w:rPr>
        <w:t xml:space="preserve">"DESCRIPTION"</w:t>
      </w:r>
      <w:r>
        <w:rPr>
          <w:rStyle w:val="NormalTok"/>
        </w:rPr>
        <w:t xml:space="preserve"> </w:t>
      </w:r>
      <w:r>
        <w:rPr>
          <w:rStyle w:val="OtherTok"/>
        </w:rPr>
        <w:t xml:space="preserve">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NormalTok"/>
        </w:rPr>
        <w:t xml:space="preserve"> </w:t>
      </w:r>
      <w:r>
        <w:rPr>
          <w:rStyle w:val="OtherTok"/>
        </w:rPr>
        <w:t xml:space="preserve">mimeType=</w:t>
      </w:r>
      <w:r>
        <w:rPr>
          <w:rStyle w:val="StringTok"/>
        </w:rPr>
        <w:t xml:space="preserve">"text/xml"</w:t>
      </w:r>
      <w:r>
        <w:rPr>
          <w:rStyle w:val="NormalTok"/>
        </w:rPr>
        <w:t xml:space="preserve"> </w:t>
      </w:r>
      <w:r>
        <w:rPr>
          <w:rStyle w:val="OtherTok"/>
        </w:rPr>
        <w:t xml:space="preserve">vocabularyName=</w:t>
      </w:r>
      <w:r>
        <w:rPr>
          <w:rStyle w:val="StringTok"/>
        </w:rPr>
        <w:t xml:space="preserve">"Sentinel-SAFE"</w:t>
      </w:r>
      <w:r>
        <w:rPr>
          <w:rStyle w:val="NormalTok"/>
        </w:rPr>
        <w:t xml:space="preserve"> </w:t>
      </w:r>
      <w:r>
        <w:rPr>
          <w:rStyle w:val="OtherTok"/>
        </w:rPr>
        <w:t xml:space="preserve">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NormalTok"/>
        </w:rPr>
        <w:t xml:space="preserve"> </w:t>
      </w:r>
      <w:r>
        <w:rPr>
          <w:rStyle w:val="OtherTok"/>
        </w:rPr>
        <w:t xml:space="preserve">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NormalTok"/>
        </w:rPr>
        <w:t xml:space="preserve"> </w:t>
      </w:r>
      <w:r>
        <w:rPr>
          <w:rStyle w:val="OtherTok"/>
        </w:rPr>
        <w:t xml:space="preserve">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184"/>
    <w:bookmarkStart w:id="185" w:name="sensor-calibration"/>
    <w:p>
      <w:pPr>
        <w:pStyle w:val="berschrift4"/>
      </w:pPr>
      <w:r>
        <w:t xml:space="preserve">Sensor Calibration</w:t>
      </w:r>
    </w:p>
    <w:p>
      <w:pPr>
        <w:pStyle w:val="FirstParagraph"/>
      </w:pPr>
      <w:r>
        <w:t xml:space="preserve">Refers to Section </w:t>
      </w:r>
      <w:r>
        <w:t xml:space="preserve">“</w:t>
      </w:r>
      <w:hyperlink w:anchor="sec:meta-sencal-optical">
        <w:r>
          <w:rPr>
            <w:rStyle w:val="Hyperlink"/>
          </w:rPr>
          <w:t xml:space="preserve">General Metadata: Sensor Calibration</w:t>
        </w:r>
      </w:hyperlink>
      <w:r>
        <w:t xml:space="preserve">”</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185"/>
    <w:bookmarkStart w:id="186" w:name="algorithms"/>
    <w:p>
      <w:pPr>
        <w:pStyle w:val="berschrift4"/>
      </w:pPr>
      <w:r>
        <w:t xml:space="preserve">Algorithms</w:t>
      </w:r>
    </w:p>
    <w:p>
      <w:pPr>
        <w:pStyle w:val="FirstParagraph"/>
      </w:pPr>
      <w:r>
        <w:t xml:space="preserve">Refers to Section </w:t>
      </w:r>
      <w:r>
        <w:t xml:space="preserve">“</w:t>
      </w:r>
      <w:hyperlink w:anchor="sec:meta-malgos-st">
        <w:r>
          <w:rPr>
            <w:rStyle w:val="Hyperlink"/>
          </w:rPr>
          <w:t xml:space="preserve">General Metadata: Algorithms</w:t>
        </w:r>
      </w:hyperlink>
      <w:r>
        <w:t xml:space="preserve">”</w:t>
      </w:r>
    </w:p>
    <w:p>
      <w:pPr>
        <w:pStyle w:val="Textkrper"/>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186"/>
    <w:bookmarkStart w:id="187" w:name="auxiliary-data"/>
    <w:p>
      <w:pPr>
        <w:pStyle w:val="berschrift4"/>
      </w:pPr>
      <w:r>
        <w:t xml:space="preserve">Auxiliary Data</w:t>
      </w:r>
    </w:p>
    <w:p>
      <w:pPr>
        <w:pStyle w:val="FirstParagraph"/>
      </w:pPr>
      <w:r>
        <w:t xml:space="preserve">Refers to Section </w:t>
      </w:r>
      <w:r>
        <w:t xml:space="preserve">“</w:t>
      </w:r>
      <w:hyperlink w:anchor="sec:meta-auxdat-optical">
        <w:r>
          <w:rPr>
            <w:rStyle w:val="Hyperlink"/>
          </w:rPr>
          <w:t xml:space="preserve">General Metadata: Auxiliary Data</w:t>
        </w:r>
      </w:hyperlink>
      <w:r>
        <w:t xml:space="preserve">”</w:t>
      </w:r>
    </w:p>
    <w:p>
      <w:pPr>
        <w:pStyle w:val="Textkrper"/>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NormalTok"/>
        </w:rPr>
        <w:t xml:space="preserve"> </w:t>
      </w:r>
      <w:r>
        <w:rPr>
          <w:rStyle w:val="OtherTok"/>
        </w:rPr>
        <w:t xml:space="preserve">name=</w:t>
      </w:r>
      <w:r>
        <w:rPr>
          <w:rStyle w:val="StringTok"/>
        </w:rPr>
        <w:t xml:space="preserve">"S3__SL_2_LSTBAX_20000101T000000_20991231T235959_20151214T120000___________________MPC_O_AL_001.SEN3"</w:t>
      </w:r>
      <w:r>
        <w:rPr>
          <w:rStyle w:val="NormalTok"/>
        </w:rPr>
        <w:t xml:space="preserve"> </w:t>
      </w:r>
      <w:r>
        <w:rPr>
          <w:rStyle w:val="OtherTok"/>
        </w:rPr>
        <w:t xml:space="preserve">role=</w:t>
      </w:r>
      <w:r>
        <w:rPr>
          <w:rStyle w:val="StringTok"/>
        </w:rPr>
        <w:t xml:space="preserve">"SLSTR LST biome data file"</w:t>
      </w:r>
      <w:r>
        <w:rPr>
          <w:rStyle w:val="NormalTok"/>
        </w:rPr>
        <w:t xml:space="preserve"> </w:t>
      </w:r>
      <w:r>
        <w:rPr>
          <w:rStyle w:val="OtherTok"/>
        </w:rPr>
        <w:t xml:space="preserve">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NormalTok"/>
        </w:rPr>
        <w:t xml:space="preserve"> </w:t>
      </w:r>
      <w:r>
        <w:rPr>
          <w:rStyle w:val="OtherTok"/>
        </w:rPr>
        <w:t xml:space="preserve">name=</w:t>
      </w:r>
      <w:r>
        <w:rPr>
          <w:rStyle w:val="StringTok"/>
        </w:rPr>
        <w:t xml:space="preserve">"S3__SL_2_LSTVAX_20000101T000000_20991231T235959_20151214T120000___________________MPC_O_AL_001.SEN3"</w:t>
      </w:r>
      <w:r>
        <w:rPr>
          <w:rStyle w:val="NormalTok"/>
        </w:rPr>
        <w:t xml:space="preserve"> </w:t>
      </w:r>
      <w:r>
        <w:rPr>
          <w:rStyle w:val="OtherTok"/>
        </w:rPr>
        <w:t xml:space="preserve">role=</w:t>
      </w:r>
      <w:r>
        <w:rPr>
          <w:rStyle w:val="StringTok"/>
        </w:rPr>
        <w:t xml:space="preserve">"SLSTR LST vegetation fraction data file"</w:t>
      </w:r>
      <w:r>
        <w:rPr>
          <w:rStyle w:val="NormalTok"/>
        </w:rPr>
        <w:t xml:space="preserve"> </w:t>
      </w:r>
      <w:r>
        <w:rPr>
          <w:rStyle w:val="OtherTok"/>
        </w:rPr>
        <w:t xml:space="preserve">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NormalTok"/>
        </w:rPr>
        <w:t xml:space="preserve"> </w:t>
      </w:r>
      <w:r>
        <w:rPr>
          <w:rStyle w:val="OtherTok"/>
        </w:rPr>
        <w:t xml:space="preserve">name=</w:t>
      </w:r>
      <w:r>
        <w:rPr>
          <w:rStyle w:val="StringTok"/>
        </w:rPr>
        <w:t xml:space="preserve">"S3__SL_2_LSTWAX_20000101T000000_20991231T235959_20151214T120000___________________MPC_O_AL_001.SEN3"</w:t>
      </w:r>
      <w:r>
        <w:rPr>
          <w:rStyle w:val="NormalTok"/>
        </w:rPr>
        <w:t xml:space="preserve"> </w:t>
      </w:r>
      <w:r>
        <w:rPr>
          <w:rStyle w:val="OtherTok"/>
        </w:rPr>
        <w:t xml:space="preserve">role=</w:t>
      </w:r>
      <w:r>
        <w:rPr>
          <w:rStyle w:val="StringTok"/>
        </w:rPr>
        <w:t xml:space="preserve">"SLSTR LST water vapour data file"</w:t>
      </w:r>
      <w:r>
        <w:rPr>
          <w:rStyle w:val="NormalTok"/>
        </w:rPr>
        <w:t xml:space="preserve"> </w:t>
      </w:r>
      <w:r>
        <w:rPr>
          <w:rStyle w:val="OtherTok"/>
        </w:rPr>
        <w:t xml:space="preserve">version=</w:t>
      </w:r>
      <w:r>
        <w:rPr>
          <w:rStyle w:val="StringTok"/>
        </w:rPr>
        <w:t xml:space="preserve">"06.16"</w:t>
      </w:r>
      <w:r>
        <w:rPr>
          <w:rStyle w:val="NormalTok"/>
        </w:rPr>
        <w:t xml:space="preserve">&gt;</w:t>
      </w:r>
    </w:p>
    <w:bookmarkEnd w:id="187"/>
    <w:bookmarkStart w:id="188" w:name="processing-chain-provenance"/>
    <w:p>
      <w:pPr>
        <w:pStyle w:val="berschrift4"/>
      </w:pPr>
      <w:r>
        <w:t xml:space="preserve">Processing Chain Provenance</w:t>
      </w:r>
    </w:p>
    <w:p>
      <w:pPr>
        <w:pStyle w:val="FirstParagraph"/>
      </w:pPr>
      <w:r>
        <w:t xml:space="preserve">Refers to Section </w:t>
      </w:r>
      <w:r>
        <w:t xml:space="preserve">“</w:t>
      </w:r>
      <w:hyperlink w:anchor="sec:meta-proprov-st">
        <w:r>
          <w:rPr>
            <w:rStyle w:val="Hyperlink"/>
          </w:rPr>
          <w:t xml:space="preserve">General Metadata: Processing Chain Provenance</w:t>
        </w:r>
      </w:hyperlink>
      <w:r>
        <w:t xml:space="preserve">”</w:t>
      </w:r>
    </w:p>
    <w:p>
      <w:pPr>
        <w:pStyle w:val="Textkrper"/>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NormalTok"/>
        </w:rPr>
        <w:t xml:space="preserve"> </w:t>
      </w:r>
      <w:r>
        <w:rPr>
          <w:rStyle w:val="OtherTok"/>
        </w:rPr>
        <w:t xml:space="preserve">ID=</w:t>
      </w:r>
      <w:r>
        <w:rPr>
          <w:rStyle w:val="StringTok"/>
        </w:rPr>
        <w:t xml:space="preserve">"processing"</w:t>
      </w:r>
      <w:r>
        <w:rPr>
          <w:rStyle w:val="NormalTok"/>
        </w:rPr>
        <w:t xml:space="preserve"> </w:t>
      </w:r>
      <w:r>
        <w:rPr>
          <w:rStyle w:val="OtherTok"/>
        </w:rPr>
        <w:t xml:space="preserve">classification=</w:t>
      </w:r>
      <w:r>
        <w:rPr>
          <w:rStyle w:val="StringTok"/>
        </w:rPr>
        <w:t xml:space="preserve">"PROVENANCE"</w:t>
      </w:r>
      <w:r>
        <w:rPr>
          <w:rStyle w:val="NormalTok"/>
        </w:rPr>
        <w:t xml:space="preserve"> </w:t>
      </w:r>
      <w:r>
        <w:rPr>
          <w:rStyle w:val="OtherTok"/>
        </w:rPr>
        <w:t xml:space="preserve">category=</w:t>
      </w:r>
      <w:r>
        <w:rPr>
          <w:rStyle w:val="StringTok"/>
        </w:rPr>
        <w:t xml:space="preserve">"PDI"</w:t>
      </w:r>
      <w:r>
        <w:rPr>
          <w:rStyle w:val="NormalTok"/>
        </w:rPr>
        <w:t xml:space="preserve">&gt;</w:t>
      </w:r>
    </w:p>
    <w:bookmarkEnd w:id="188"/>
    <w:bookmarkStart w:id="189" w:name="overall-data-quality"/>
    <w:p>
      <w:pPr>
        <w:pStyle w:val="berschrift4"/>
      </w:pPr>
      <w:r>
        <w:t xml:space="preserve">Overall Data Quality</w:t>
      </w:r>
    </w:p>
    <w:p>
      <w:pPr>
        <w:pStyle w:val="FirstParagraph"/>
      </w:pPr>
      <w:r>
        <w:t xml:space="preserve">Refers to Section </w:t>
      </w:r>
      <w:r>
        <w:t xml:space="preserve">“</w:t>
      </w:r>
      <w:hyperlink w:anchor="sec:meta-odqual-st">
        <w:r>
          <w:rPr>
            <w:rStyle w:val="Hyperlink"/>
          </w:rPr>
          <w:t xml:space="preserve">General Metadata: Overall Data Quality</w:t>
        </w:r>
      </w:hyperlink>
      <w:r>
        <w:t xml:space="preserve">”</w:t>
      </w:r>
    </w:p>
    <w:p>
      <w:pPr>
        <w:pStyle w:val="Textkrper"/>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NormalTok"/>
        </w:rPr>
        <w:t xml:space="preserve"> </w:t>
      </w:r>
      <w:r>
        <w:rPr>
          <w:rStyle w:val="OtherTok"/>
        </w:rPr>
        <w:t xml:space="preserve">ID=</w:t>
      </w:r>
      <w:r>
        <w:rPr>
          <w:rStyle w:val="StringTok"/>
        </w:rPr>
        <w:t xml:space="preserve">"measurementQualityInformation"</w:t>
      </w:r>
      <w:r>
        <w:rPr>
          <w:rStyle w:val="NormalTok"/>
        </w:rPr>
        <w:t xml:space="preserve"> </w:t>
      </w:r>
      <w:r>
        <w:rPr>
          <w:rStyle w:val="OtherTok"/>
        </w:rPr>
        <w:t xml:space="preserve">classification=</w:t>
      </w:r>
      <w:r>
        <w:rPr>
          <w:rStyle w:val="StringTok"/>
        </w:rPr>
        <w:t xml:space="preserve">"DESCRIPTION"</w:t>
      </w:r>
      <w:r>
        <w:rPr>
          <w:rStyle w:val="NormalTok"/>
        </w:rPr>
        <w:t xml:space="preserve"> </w:t>
      </w:r>
      <w:r>
        <w:rPr>
          <w:rStyle w:val="OtherTok"/>
        </w:rPr>
        <w:t xml:space="preserve">category=</w:t>
      </w:r>
      <w:r>
        <w:rPr>
          <w:rStyle w:val="StringTok"/>
        </w:rPr>
        <w:t xml:space="preserve">"DMD"</w:t>
      </w:r>
      <w:r>
        <w:rPr>
          <w:rStyle w:val="NormalTok"/>
        </w:rPr>
        <w:t xml:space="preserve">&gt;</w:t>
      </w:r>
    </w:p>
    <w:bookmarkEnd w:id="189"/>
    <w:bookmarkEnd w:id="190"/>
    <w:bookmarkStart w:id="197" w:name="per-pixel-metadata-1"/>
    <w:p>
      <w:pPr>
        <w:pStyle w:val="berschrift3"/>
      </w:pPr>
      <w:r>
        <w:t xml:space="preserve">Per-Pixel Metadata</w:t>
      </w:r>
    </w:p>
    <w:bookmarkStart w:id="191" w:name="no-data"/>
    <w:p>
      <w:pPr>
        <w:pStyle w:val="berschrift4"/>
      </w:pPr>
      <w:r>
        <w:t xml:space="preserve">No Data</w:t>
      </w:r>
    </w:p>
    <w:p>
      <w:pPr>
        <w:pStyle w:val="FirstParagraph"/>
      </w:pPr>
      <w:r>
        <w:t xml:space="preserve">Refers to Section </w:t>
      </w:r>
      <w:r>
        <w:t xml:space="preserve">“</w:t>
      </w:r>
      <w:hyperlink w:anchor="sec:pxl-pinodat">
        <w:r>
          <w:rPr>
            <w:rStyle w:val="Hyperlink"/>
          </w:rPr>
          <w:t xml:space="preserve">Per-Pixel Metadata: No Data</w:t>
        </w:r>
      </w:hyperlink>
      <w:r>
        <w:t xml:space="preserve">”</w:t>
      </w:r>
    </w:p>
    <w:p>
      <w:pPr>
        <w:pStyle w:val="Textkrper"/>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NormalTok"/>
        </w:rPr>
        <w:t xml:space="preserve"> </w:t>
      </w:r>
      <w:r>
        <w:rPr>
          <w:rStyle w:val="OtherTok"/>
        </w:rPr>
        <w:t xml:space="preserve">add_offset=</w:t>
      </w:r>
      <w:r>
        <w:rPr>
          <w:rStyle w:val="StringTok"/>
        </w:rPr>
        <w:t xml:space="preserve">"0.000000"</w:t>
      </w:r>
      <w:r>
        <w:rPr>
          <w:rStyle w:val="NormalTok"/>
        </w:rPr>
        <w:t xml:space="preserve"> </w:t>
      </w:r>
      <w:r>
        <w:rPr>
          <w:rStyle w:val="OtherTok"/>
        </w:rPr>
        <w:t xml:space="preserve">category=</w:t>
      </w:r>
      <w:r>
        <w:rPr>
          <w:rStyle w:val="StringTok"/>
        </w:rPr>
        <w:t xml:space="preserve">"image"</w:t>
      </w:r>
      <w:r>
        <w:rPr>
          <w:rStyle w:val="NormalTok"/>
        </w:rPr>
        <w:t xml:space="preserve"> </w:t>
      </w:r>
      <w:r>
        <w:rPr>
          <w:rStyle w:val="OtherTok"/>
        </w:rPr>
        <w:t xml:space="preserve">data_type=</w:t>
      </w:r>
      <w:r>
        <w:rPr>
          <w:rStyle w:val="StringTok"/>
        </w:rPr>
        <w:t xml:space="preserve">"INT16"</w:t>
      </w:r>
      <w:r>
        <w:rPr>
          <w:rStyle w:val="NormalTok"/>
        </w:rPr>
        <w:t xml:space="preserve"> </w:t>
      </w:r>
      <w:r>
        <w:rPr>
          <w:rStyle w:val="OtherTok"/>
        </w:rPr>
        <w:t xml:space="preserve">fill_value=</w:t>
      </w:r>
      <w:r>
        <w:rPr>
          <w:rStyle w:val="StringTok"/>
        </w:rPr>
        <w:t xml:space="preserve">"-9999"</w:t>
      </w:r>
      <w:r>
        <w:rPr>
          <w:rStyle w:val="NormalTok"/>
        </w:rPr>
        <w:t xml:space="preserve"> </w:t>
      </w:r>
      <w:r>
        <w:rPr>
          <w:rStyle w:val="OtherTok"/>
        </w:rPr>
        <w:t xml:space="preserve">name=</w:t>
      </w:r>
      <w:r>
        <w:rPr>
          <w:rStyle w:val="StringTok"/>
        </w:rPr>
        <w:t xml:space="preserve">"ST"</w:t>
      </w:r>
      <w:r>
        <w:rPr>
          <w:rStyle w:val="NormalTok"/>
        </w:rPr>
        <w:t xml:space="preserve"> </w:t>
      </w:r>
      <w:r>
        <w:rPr>
          <w:rStyle w:val="OtherTok"/>
        </w:rPr>
        <w:t xml:space="preserve">nlines=</w:t>
      </w:r>
      <w:r>
        <w:rPr>
          <w:rStyle w:val="StringTok"/>
        </w:rPr>
        <w:t xml:space="preserve">"5000"</w:t>
      </w:r>
      <w:r>
        <w:rPr>
          <w:rStyle w:val="NormalTok"/>
        </w:rPr>
        <w:t xml:space="preserve"> </w:t>
      </w:r>
      <w:r>
        <w:rPr>
          <w:rStyle w:val="OtherTok"/>
        </w:rPr>
        <w:t xml:space="preserve">nsamps=</w:t>
      </w:r>
      <w:r>
        <w:rPr>
          <w:rStyle w:val="StringTok"/>
        </w:rPr>
        <w:t xml:space="preserve">"5000"</w:t>
      </w:r>
      <w:r>
        <w:rPr>
          <w:rStyle w:val="NormalTok"/>
        </w:rPr>
        <w:t xml:space="preserve"> </w:t>
      </w:r>
      <w:r>
        <w:rPr>
          <w:rStyle w:val="OtherTok"/>
        </w:rPr>
        <w:t xml:space="preserve">product=</w:t>
      </w:r>
      <w:r>
        <w:rPr>
          <w:rStyle w:val="StringTok"/>
        </w:rPr>
        <w:t xml:space="preserve">"st"</w:t>
      </w:r>
      <w:r>
        <w:rPr>
          <w:rStyle w:val="NormalTok"/>
        </w:rPr>
        <w:t xml:space="preserve"> </w:t>
      </w:r>
      <w:r>
        <w:rPr>
          <w:rStyle w:val="OtherTok"/>
        </w:rPr>
        <w:t xml:space="preserve">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NormalTok"/>
        </w:rPr>
        <w:t xml:space="preserve"> </w:t>
      </w:r>
      <w:r>
        <w:rPr>
          <w:rStyle w:val="OtherTok"/>
        </w:rPr>
        <w:t xml:space="preserve">units=</w:t>
      </w:r>
      <w:r>
        <w:rPr>
          <w:rStyle w:val="StringTok"/>
        </w:rPr>
        <w:t xml:space="preserve">"meters"</w:t>
      </w:r>
      <w:r>
        <w:rPr>
          <w:rStyle w:val="NormalTok"/>
        </w:rPr>
        <w:t xml:space="preserve"> </w:t>
      </w:r>
      <w:r>
        <w:rPr>
          <w:rStyle w:val="OtherTok"/>
        </w:rPr>
        <w:t xml:space="preserve">x=</w:t>
      </w:r>
      <w:r>
        <w:rPr>
          <w:rStyle w:val="StringTok"/>
        </w:rPr>
        <w:t xml:space="preserve">"30"</w:t>
      </w:r>
      <w:r>
        <w:rPr>
          <w:rStyle w:val="NormalTok"/>
        </w:rPr>
        <w:t xml:space="preserve"> </w:t>
      </w:r>
      <w:r>
        <w:rPr>
          <w:rStyle w:val="OtherTok"/>
        </w:rPr>
        <w:t xml:space="preserve">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NormalTok"/>
        </w:rPr>
        <w:t xml:space="preserve"> </w:t>
      </w:r>
      <w:r>
        <w:rPr>
          <w:rStyle w:val="OtherTok"/>
        </w:rPr>
        <w:t xml:space="preserve">max=</w:t>
      </w:r>
      <w:r>
        <w:rPr>
          <w:rStyle w:val="StringTok"/>
        </w:rPr>
        <w:t xml:space="preserve">"3730.000000"</w:t>
      </w:r>
      <w:r>
        <w:rPr>
          <w:rStyle w:val="NormalTok"/>
        </w:rPr>
        <w:t xml:space="preserve"> </w:t>
      </w:r>
      <w:r>
        <w:rPr>
          <w:rStyle w:val="OtherTok"/>
        </w:rPr>
        <w:t xml:space="preserve">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91"/>
    <w:bookmarkStart w:id="192" w:name="incomplete-testing"/>
    <w:p>
      <w:pPr>
        <w:pStyle w:val="berschrift4"/>
      </w:pPr>
      <w:r>
        <w:t xml:space="preserve">Incomplete Testing</w:t>
      </w:r>
    </w:p>
    <w:p>
      <w:pPr>
        <w:pStyle w:val="FirstParagraph"/>
      </w:pPr>
      <w:r>
        <w:t xml:space="preserve">Refers to Section </w:t>
      </w:r>
      <w:r>
        <w:t xml:space="preserve">“</w:t>
      </w:r>
      <w:hyperlink w:anchor="sec:pxl-pincot">
        <w:r>
          <w:rPr>
            <w:rStyle w:val="Hyperlink"/>
          </w:rPr>
          <w:t xml:space="preserve">Per-Pixel Metadata: Incomplete Testing</w:t>
        </w:r>
      </w:hyperlink>
      <w:r>
        <w:t xml:space="preserve">”</w:t>
      </w:r>
    </w:p>
    <w:p>
      <w:pPr>
        <w:pStyle w:val="Textkrper"/>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192"/>
    <w:bookmarkStart w:id="193" w:name="saturation"/>
    <w:p>
      <w:pPr>
        <w:pStyle w:val="berschrift4"/>
      </w:pPr>
      <w:r>
        <w:t xml:space="preserve">Saturation</w:t>
      </w:r>
    </w:p>
    <w:p>
      <w:pPr>
        <w:pStyle w:val="FirstParagraph"/>
      </w:pPr>
      <w:r>
        <w:t xml:space="preserve">Refers to Section </w:t>
      </w:r>
      <w:r>
        <w:t xml:space="preserve">“</w:t>
      </w:r>
      <w:hyperlink w:anchor="sec:pxl-pisatur">
        <w:r>
          <w:rPr>
            <w:rStyle w:val="Hyperlink"/>
          </w:rPr>
          <w:t xml:space="preserve">Per-Pixel Metadata: Saturation</w:t>
        </w:r>
      </w:hyperlink>
      <w:r>
        <w:t xml:space="preserve">”</w:t>
      </w:r>
    </w:p>
    <w:p>
      <w:pPr>
        <w:pStyle w:val="Textkrper"/>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NormalTok"/>
        </w:rPr>
        <w:t xml:space="preserve"> </w:t>
      </w:r>
      <w:r>
        <w:rPr>
          <w:rStyle w:val="OtherTok"/>
        </w:rPr>
        <w:t xml:space="preserve">category=</w:t>
      </w:r>
      <w:r>
        <w:rPr>
          <w:rStyle w:val="StringTok"/>
        </w:rPr>
        <w:t xml:space="preserve">"qa"</w:t>
      </w:r>
      <w:r>
        <w:rPr>
          <w:rStyle w:val="NormalTok"/>
        </w:rPr>
        <w:t xml:space="preserve"> </w:t>
      </w:r>
      <w:r>
        <w:rPr>
          <w:rStyle w:val="OtherTok"/>
        </w:rPr>
        <w:t xml:space="preserve">data_type=</w:t>
      </w:r>
      <w:r>
        <w:rPr>
          <w:rStyle w:val="StringTok"/>
        </w:rPr>
        <w:t xml:space="preserve">"UINT16"</w:t>
      </w:r>
      <w:r>
        <w:rPr>
          <w:rStyle w:val="NormalTok"/>
        </w:rPr>
        <w:t xml:space="preserve"> </w:t>
      </w:r>
      <w:r>
        <w:rPr>
          <w:rStyle w:val="OtherTok"/>
        </w:rPr>
        <w:t xml:space="preserve">fill_value=</w:t>
      </w:r>
      <w:r>
        <w:rPr>
          <w:rStyle w:val="StringTok"/>
        </w:rPr>
        <w:t xml:space="preserve">"1"</w:t>
      </w:r>
      <w:r>
        <w:rPr>
          <w:rStyle w:val="NormalTok"/>
        </w:rPr>
        <w:t xml:space="preserve"> </w:t>
      </w:r>
      <w:r>
        <w:rPr>
          <w:rStyle w:val="OtherTok"/>
        </w:rPr>
        <w:t xml:space="preserve">name=</w:t>
      </w:r>
      <w:r>
        <w:rPr>
          <w:rStyle w:val="StringTok"/>
        </w:rPr>
        <w:t xml:space="preserve">"RADSATQA"</w:t>
      </w:r>
      <w:r>
        <w:rPr>
          <w:rStyle w:val="NormalTok"/>
        </w:rPr>
        <w:t xml:space="preserve"> </w:t>
      </w:r>
      <w:r>
        <w:rPr>
          <w:rStyle w:val="OtherTok"/>
        </w:rPr>
        <w:t xml:space="preserve">nlines=</w:t>
      </w:r>
      <w:r>
        <w:rPr>
          <w:rStyle w:val="StringTok"/>
        </w:rPr>
        <w:t xml:space="preserve">"5000"</w:t>
      </w:r>
      <w:r>
        <w:rPr>
          <w:rStyle w:val="NormalTok"/>
        </w:rPr>
        <w:t xml:space="preserve"> </w:t>
      </w:r>
      <w:r>
        <w:rPr>
          <w:rStyle w:val="OtherTok"/>
        </w:rPr>
        <w:t xml:space="preserve">nsamps=</w:t>
      </w:r>
      <w:r>
        <w:rPr>
          <w:rStyle w:val="StringTok"/>
        </w:rPr>
        <w:t xml:space="preserve">"5000"</w:t>
      </w:r>
      <w:r>
        <w:rPr>
          <w:rStyle w:val="NormalTok"/>
        </w:rPr>
        <w:t xml:space="preserve"> </w:t>
      </w:r>
      <w:r>
        <w:rPr>
          <w:rStyle w:val="OtherTok"/>
        </w:rPr>
        <w:t xml:space="preserve">product=</w:t>
      </w:r>
      <w:r>
        <w:rPr>
          <w:rStyle w:val="StringTok"/>
        </w:rPr>
        <w:t xml:space="preserve">"toa_refl"</w:t>
      </w:r>
      <w:r>
        <w:rPr>
          <w:rStyle w:val="NormalTok"/>
        </w:rPr>
        <w:t xml:space="preserve"> </w:t>
      </w:r>
      <w:r>
        <w:rPr>
          <w:rStyle w:val="OtherTok"/>
        </w:rPr>
        <w:t xml:space="preserve">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NormalTok"/>
        </w:rPr>
        <w:t xml:space="preserve"> </w:t>
      </w:r>
      <w:r>
        <w:rPr>
          <w:rStyle w:val="OtherTok"/>
        </w:rPr>
        <w:t xml:space="preserve">units=</w:t>
      </w:r>
      <w:r>
        <w:rPr>
          <w:rStyle w:val="StringTok"/>
        </w:rPr>
        <w:t xml:space="preserve">"meters"</w:t>
      </w:r>
      <w:r>
        <w:rPr>
          <w:rStyle w:val="NormalTok"/>
        </w:rPr>
        <w:t xml:space="preserve"> </w:t>
      </w:r>
      <w:r>
        <w:rPr>
          <w:rStyle w:val="OtherTok"/>
        </w:rPr>
        <w:t xml:space="preserve">x=</w:t>
      </w:r>
      <w:r>
        <w:rPr>
          <w:rStyle w:val="StringTok"/>
        </w:rPr>
        <w:t xml:space="preserve">"30"</w:t>
      </w:r>
      <w:r>
        <w:rPr>
          <w:rStyle w:val="NormalTok"/>
        </w:rPr>
        <w:t xml:space="preserve"> </w:t>
      </w:r>
      <w:r>
        <w:rPr>
          <w:rStyle w:val="OtherTok"/>
        </w:rPr>
        <w:t xml:space="preserve">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193"/>
    <w:bookmarkStart w:id="194" w:name="cloud"/>
    <w:p>
      <w:pPr>
        <w:pStyle w:val="berschrift4"/>
      </w:pPr>
      <w:r>
        <w:t xml:space="preserve">Cloud</w:t>
      </w:r>
    </w:p>
    <w:p>
      <w:pPr>
        <w:pStyle w:val="FirstParagraph"/>
      </w:pPr>
      <w:r>
        <w:t xml:space="preserve">Refers to Section </w:t>
      </w:r>
      <w:r>
        <w:t xml:space="preserve">“</w:t>
      </w:r>
      <w:hyperlink w:anchor="sec:pxl-picloud">
        <w:r>
          <w:rPr>
            <w:rStyle w:val="Hyperlink"/>
          </w:rPr>
          <w:t xml:space="preserve">Per-Pixel Metadata: Cloud</w:t>
        </w:r>
      </w:hyperlink>
      <w:r>
        <w:t xml:space="preserve">”</w:t>
      </w:r>
    </w:p>
    <w:p>
      <w:pPr>
        <w:pStyle w:val="Textkrper"/>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NormalTok"/>
        </w:rPr>
        <w:t xml:space="preserve"> </w:t>
      </w:r>
      <w:r>
        <w:rPr>
          <w:rStyle w:val="OtherTok"/>
        </w:rPr>
        <w:t xml:space="preserve">category=</w:t>
      </w:r>
      <w:r>
        <w:rPr>
          <w:rStyle w:val="StringTok"/>
        </w:rPr>
        <w:t xml:space="preserve">"qa"</w:t>
      </w:r>
      <w:r>
        <w:rPr>
          <w:rStyle w:val="NormalTok"/>
        </w:rPr>
        <w:t xml:space="preserve"> </w:t>
      </w:r>
      <w:r>
        <w:rPr>
          <w:rStyle w:val="OtherTok"/>
        </w:rPr>
        <w:t xml:space="preserve">data_type=</w:t>
      </w:r>
      <w:r>
        <w:rPr>
          <w:rStyle w:val="StringTok"/>
        </w:rPr>
        <w:t xml:space="preserve">"UINT16"</w:t>
      </w:r>
      <w:r>
        <w:rPr>
          <w:rStyle w:val="NormalTok"/>
        </w:rPr>
        <w:t xml:space="preserve"> </w:t>
      </w:r>
      <w:r>
        <w:rPr>
          <w:rStyle w:val="OtherTok"/>
        </w:rPr>
        <w:t xml:space="preserve">fill_value=</w:t>
      </w:r>
      <w:r>
        <w:rPr>
          <w:rStyle w:val="StringTok"/>
        </w:rPr>
        <w:t xml:space="preserve">"1"</w:t>
      </w:r>
      <w:r>
        <w:rPr>
          <w:rStyle w:val="NormalTok"/>
        </w:rPr>
        <w:t xml:space="preserve"> </w:t>
      </w:r>
      <w:r>
        <w:rPr>
          <w:rStyle w:val="OtherTok"/>
        </w:rPr>
        <w:t xml:space="preserve">name=</w:t>
      </w:r>
      <w:r>
        <w:rPr>
          <w:rStyle w:val="StringTok"/>
        </w:rPr>
        <w:t xml:space="preserve">"PIXELQA"</w:t>
      </w:r>
      <w:r>
        <w:rPr>
          <w:rStyle w:val="NormalTok"/>
        </w:rPr>
        <w:t xml:space="preserve"> </w:t>
      </w:r>
      <w:r>
        <w:rPr>
          <w:rStyle w:val="OtherTok"/>
        </w:rPr>
        <w:t xml:space="preserve">nlines=</w:t>
      </w:r>
      <w:r>
        <w:rPr>
          <w:rStyle w:val="StringTok"/>
        </w:rPr>
        <w:t xml:space="preserve">"5000"</w:t>
      </w:r>
      <w:r>
        <w:rPr>
          <w:rStyle w:val="NormalTok"/>
        </w:rPr>
        <w:t xml:space="preserve"> </w:t>
      </w:r>
      <w:r>
        <w:rPr>
          <w:rStyle w:val="OtherTok"/>
        </w:rPr>
        <w:t xml:space="preserve">nsamps=</w:t>
      </w:r>
      <w:r>
        <w:rPr>
          <w:rStyle w:val="StringTok"/>
        </w:rPr>
        <w:t xml:space="preserve">"5000"</w:t>
      </w:r>
      <w:r>
        <w:rPr>
          <w:rStyle w:val="NormalTok"/>
        </w:rPr>
        <w:t xml:space="preserve"> </w:t>
      </w:r>
      <w:r>
        <w:rPr>
          <w:rStyle w:val="OtherTok"/>
        </w:rPr>
        <w:t xml:space="preserve">product=</w:t>
      </w:r>
      <w:r>
        <w:rPr>
          <w:rStyle w:val="StringTok"/>
        </w:rPr>
        <w:t xml:space="preserve">"level2_qa"</w:t>
      </w:r>
      <w:r>
        <w:rPr>
          <w:rStyle w:val="NormalTok"/>
        </w:rPr>
        <w:t xml:space="preserve"> </w:t>
      </w:r>
      <w:r>
        <w:rPr>
          <w:rStyle w:val="OtherTok"/>
        </w:rPr>
        <w:t xml:space="preserve">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NormalTok"/>
        </w:rPr>
        <w:t xml:space="preserve"> </w:t>
      </w:r>
      <w:r>
        <w:rPr>
          <w:rStyle w:val="OtherTok"/>
        </w:rPr>
        <w:t xml:space="preserve">units=</w:t>
      </w:r>
      <w:r>
        <w:rPr>
          <w:rStyle w:val="StringTok"/>
        </w:rPr>
        <w:t xml:space="preserve">"meters"</w:t>
      </w:r>
      <w:r>
        <w:rPr>
          <w:rStyle w:val="NormalTok"/>
        </w:rPr>
        <w:t xml:space="preserve"> </w:t>
      </w:r>
      <w:r>
        <w:rPr>
          <w:rStyle w:val="OtherTok"/>
        </w:rPr>
        <w:t xml:space="preserve">x=</w:t>
      </w:r>
      <w:r>
        <w:rPr>
          <w:rStyle w:val="StringTok"/>
        </w:rPr>
        <w:t xml:space="preserve">"30"</w:t>
      </w:r>
      <w:r>
        <w:rPr>
          <w:rStyle w:val="NormalTok"/>
        </w:rPr>
        <w:t xml:space="preserve"> </w:t>
      </w:r>
      <w:r>
        <w:rPr>
          <w:rStyle w:val="OtherTok"/>
        </w:rPr>
        <w:t xml:space="preserve">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NormalTok"/>
        </w:rPr>
        <w:t xml:space="preserve"> </w:t>
      </w:r>
      <w:r>
        <w:rPr>
          <w:rStyle w:val="OtherTok"/>
        </w:rPr>
        <w:t xml:space="preserve">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48"/>
        </w:numPr>
      </w:pPr>
      <w:r>
        <w:t xml:space="preserve">cloud_in</w:t>
      </w:r>
    </w:p>
    <w:p>
      <w:pPr>
        <w:pStyle w:val="Compact"/>
        <w:numPr>
          <w:ilvl w:val="0"/>
          <w:numId w:val="1048"/>
        </w:numPr>
      </w:pPr>
      <w:r>
        <w:t xml:space="preserve">confidence_in</w:t>
      </w:r>
    </w:p>
    <w:p>
      <w:pPr>
        <w:pStyle w:val="Compact"/>
        <w:numPr>
          <w:ilvl w:val="0"/>
          <w:numId w:val="1048"/>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194"/>
    <w:bookmarkStart w:id="195" w:name="cloud-shadow"/>
    <w:p>
      <w:pPr>
        <w:pStyle w:val="berschrift4"/>
      </w:pPr>
      <w:r>
        <w:t xml:space="preserve">Cloud Shadow</w:t>
      </w:r>
    </w:p>
    <w:p>
      <w:pPr>
        <w:pStyle w:val="FirstParagraph"/>
      </w:pPr>
      <w:r>
        <w:t xml:space="preserve">Refers to Section </w:t>
      </w:r>
      <w:r>
        <w:t xml:space="preserve">“</w:t>
      </w:r>
      <w:hyperlink w:anchor="sec:pxl-picloudsh">
        <w:r>
          <w:rPr>
            <w:rStyle w:val="Hyperlink"/>
          </w:rPr>
          <w:t xml:space="preserve">Per-Pixel Metadata: Cloud Shadow</w:t>
        </w:r>
      </w:hyperlink>
      <w:r>
        <w:t xml:space="preserve">”</w:t>
      </w:r>
    </w:p>
    <w:p>
      <w:pPr>
        <w:pStyle w:val="Textkrper"/>
      </w:pPr>
      <w:r>
        <w:t xml:space="preserve">Please see the cloud shadow part in the example provided in requirement 2.5</w:t>
      </w:r>
    </w:p>
    <w:bookmarkEnd w:id="195"/>
    <w:bookmarkStart w:id="196" w:name="snowice-mask"/>
    <w:p>
      <w:pPr>
        <w:pStyle w:val="berschrift4"/>
      </w:pPr>
      <w:r>
        <w:t xml:space="preserve">Snow/Ice Mask</w:t>
      </w:r>
    </w:p>
    <w:p>
      <w:pPr>
        <w:pStyle w:val="FirstParagraph"/>
      </w:pPr>
      <w:r>
        <w:t xml:space="preserve">Refers to Section </w:t>
      </w:r>
      <w:r>
        <w:t xml:space="preserve">“</w:t>
      </w:r>
      <w:hyperlink w:anchor="sec:pxl-snowice-sr">
        <w:r>
          <w:rPr>
            <w:rStyle w:val="Hyperlink"/>
          </w:rPr>
          <w:t xml:space="preserve">Per-Pixel Metadata: Snow/Ice Mask</w:t>
        </w:r>
      </w:hyperlink>
      <w:r>
        <w:t xml:space="preserve">”</w:t>
      </w:r>
    </w:p>
    <w:p>
      <w:pPr>
        <w:pStyle w:val="Textkrper"/>
      </w:pPr>
      <w:r>
        <w:t xml:space="preserve">Please see the snow part in the example provided in requirement 2.5</w:t>
      </w:r>
    </w:p>
    <w:bookmarkEnd w:id="196"/>
    <w:bookmarkEnd w:id="197"/>
    <w:bookmarkStart w:id="198" w:name="X28ed3ea323a9ca6f7226af18ce59e0b82f609b5"/>
    <w:p>
      <w:pPr>
        <w:pStyle w:val="berschrift3"/>
      </w:pPr>
      <w:r>
        <w:t xml:space="preserve">Radiometric and Atmospheric Corrections</w:t>
      </w:r>
    </w:p>
    <w:p>
      <w:pPr>
        <w:pStyle w:val="FirstParagraph"/>
      </w:pPr>
      <w:r>
        <w:t xml:space="preserve">No examples provided</w:t>
      </w:r>
    </w:p>
    <w:bookmarkEnd w:id="198"/>
    <w:bookmarkStart w:id="199" w:name="geometric-corrections-1"/>
    <w:p>
      <w:pPr>
        <w:pStyle w:val="berschrift3"/>
      </w:pPr>
      <w:r>
        <w:t xml:space="preserve">Geometric Corrections</w:t>
      </w:r>
    </w:p>
    <w:p>
      <w:pPr>
        <w:pStyle w:val="FirstParagraph"/>
      </w:pPr>
      <w:r>
        <w:t xml:space="preserve">No examples provided</w:t>
      </w:r>
    </w:p>
    <w:bookmarkEnd w:id="199"/>
    <w:bookmarkEnd w:id="200"/>
    <w:bookmarkEnd w:id="201"/>
    <w:sectPr w:rsidR="00B92216" w:rsidSect="00676A71">
      <w:headerReference r:id="rId9" w:type="even"/>
      <w:headerReference r:id="rId10" w:type="default"/>
      <w:footerReference r:id="rId11" w:type="even"/>
      <w:footerReference r:id="rId12" w:type="default"/>
      <w:headerReference r:id="rId13"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22" Target="numbering.xml" /><Relationship Type="http://schemas.openxmlformats.org/officeDocument/2006/relationships/styles" Id="rId21" Target="styles.xml" /><Relationship Type="http://schemas.openxmlformats.org/officeDocument/2006/relationships/settings" Id="rId20" Target="settings.xml" /><Relationship Type="http://schemas.openxmlformats.org/officeDocument/2006/relationships/webSettings" Id="rId19" Target="webSettings.xml" /><Relationship Type="http://schemas.openxmlformats.org/officeDocument/2006/relationships/fontTable" Id="rId18" Target="fontTable.xml" /><Relationship Type="http://schemas.openxmlformats.org/officeDocument/2006/relationships/theme" Id="rId17" Target="theme/theme1.xml" /><Relationship Type="http://schemas.openxmlformats.org/officeDocument/2006/relationships/footnotes" Id="rId16" Target="footnotes.xml" /><Relationship Type="http://schemas.openxmlformats.org/officeDocument/2006/relationships/comments" Id="rId15" Target="comments.xml" /><Relationship Id="rId13" Target="header3.xml" Type="http://schemas.openxmlformats.org/officeDocument/2006/relationships/header" /><Relationship Id="rId12" Target="footer2.xml" Type="http://schemas.openxmlformats.org/officeDocument/2006/relationships/footer" /><Relationship Id="rId11" Target="footer1.xml" Type="http://schemas.openxmlformats.org/officeDocument/2006/relationships/footer" /><Relationship Id="rId10" Target="header2.xml" Type="http://schemas.openxmlformats.org/officeDocument/2006/relationships/header" /><Relationship Id="rId9" Target="header1.xml" Type="http://schemas.openxmlformats.org/officeDocument/2006/relationships/header" /><Relationship Id="rId14" Target="footer3.xml" Type="http://schemas.openxmlformats.org/officeDocument/2006/relationships/footer" /><Relationship Type="http://schemas.openxmlformats.org/officeDocument/2006/relationships/image" Id="rId23" Target="media/rId23.png" /><Relationship Type="http://schemas.openxmlformats.org/officeDocument/2006/relationships/hyperlink" Id="rId39" Target="https://anab.qualtraxcloud.com/ShowDocument.aspx?ID=6532" TargetMode="External" /><Relationship Type="http://schemas.openxmlformats.org/officeDocument/2006/relationships/hyperlink" Id="rId38" Target="https://anab.qualtraxcloud.com/ShowDocument.aspx?ID=6536" TargetMode="External" /><Relationship Type="http://schemas.openxmlformats.org/officeDocument/2006/relationships/hyperlink" Id="rId26" Target="https://ceos.org/ard" TargetMode="External" /><Relationship Type="http://schemas.openxmlformats.org/officeDocument/2006/relationships/hyperlink" Id="rId166" Target="https://ceos.org/ard/files/CEOS_ARD_Governance_Framework_18-October-2021.pdf" TargetMode="External" /><Relationship Type="http://schemas.openxmlformats.org/officeDocument/2006/relationships/hyperlink" Id="rId173" Target="https://doi.org/10.1016/j.rse.2012.12.008" TargetMode="External" /><Relationship Type="http://schemas.openxmlformats.org/officeDocument/2006/relationships/hyperlink" Id="rId170" Target="https://doi.org/10.3390/rs61111244"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9" Target="https://anab.qualtraxcloud.com/ShowDocument.aspx?ID=6532" TargetMode="External" /><Relationship Type="http://schemas.openxmlformats.org/officeDocument/2006/relationships/hyperlink" Id="rId38" Target="https://anab.qualtraxcloud.com/ShowDocument.aspx?ID=6536" TargetMode="External" /><Relationship Type="http://schemas.openxmlformats.org/officeDocument/2006/relationships/hyperlink" Id="rId26" Target="https://ceos.org/ard" TargetMode="External" /><Relationship Type="http://schemas.openxmlformats.org/officeDocument/2006/relationships/hyperlink" Id="rId166" Target="https://ceos.org/ard/files/CEOS_ARD_Governance_Framework_18-October-2021.pdf" TargetMode="External" /><Relationship Type="http://schemas.openxmlformats.org/officeDocument/2006/relationships/hyperlink" Id="rId173" Target="https://doi.org/10.1016/j.rse.2012.12.008" TargetMode="External" /><Relationship Type="http://schemas.openxmlformats.org/officeDocument/2006/relationships/hyperlink" Id="rId170" Target="https://doi.org/10.3390/rs61111244"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5.0.1-draft</dc:title>
  <dc:creator/>
  <dc:language>en</dc:language>
  <cp:keywords/>
  <dcterms:created xsi:type="dcterms:W3CDTF">2026-05-25T14:47:27Z</dcterms:created>
  <dcterms:modified xsi:type="dcterms:W3CDTF">2026-05-25T14:47:27Z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